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F3E4" w14:textId="13C0AC26" w:rsidR="00791D51" w:rsidRDefault="00A71E44">
      <w:r>
        <w:t>Harborough Submission Draft Local Plan</w:t>
      </w:r>
    </w:p>
    <w:p w14:paraId="2CFE15A3" w14:textId="77777777" w:rsidR="00A71E44" w:rsidRPr="00746103" w:rsidRDefault="00A71E44">
      <w:pPr>
        <w:rPr>
          <w:b/>
          <w:bCs/>
        </w:rPr>
      </w:pPr>
      <w:r w:rsidRPr="00746103">
        <w:rPr>
          <w:b/>
          <w:bCs/>
        </w:rPr>
        <w:t>Anglian Water comments</w:t>
      </w:r>
    </w:p>
    <w:p w14:paraId="574C7C34" w14:textId="16EB23AC" w:rsidR="00A71E44" w:rsidRPr="00A71E44" w:rsidRDefault="00A71E44" w:rsidP="00A71E44">
      <w:pPr>
        <w:jc w:val="both"/>
      </w:pPr>
      <w:r w:rsidRPr="00A71E44">
        <w:t xml:space="preserve">Anglian Water’s (AWS) response should be read alongside our previous submissions and inputs to the Local Plan evidence base including the </w:t>
      </w:r>
      <w:r w:rsidR="006F209E">
        <w:t xml:space="preserve">February </w:t>
      </w:r>
      <w:r w:rsidRPr="00A71E44">
        <w:t>2024 Regulation 18 consultation response</w:t>
      </w:r>
      <w:r w:rsidR="00763A3E">
        <w:t xml:space="preserve">, </w:t>
      </w:r>
      <w:r w:rsidR="006F209E">
        <w:t xml:space="preserve">AWS </w:t>
      </w:r>
      <w:r w:rsidR="00763A3E">
        <w:t>inputs to and commen</w:t>
      </w:r>
      <w:r w:rsidR="008664EE">
        <w:t xml:space="preserve">ts on </w:t>
      </w:r>
      <w:r w:rsidR="00AE6DD3">
        <w:t>Arup’s</w:t>
      </w:r>
      <w:r w:rsidR="008664EE">
        <w:t xml:space="preserve"> infrastructure evidence </w:t>
      </w:r>
      <w:r w:rsidR="00AE6DD3">
        <w:t xml:space="preserve">most recently </w:t>
      </w:r>
      <w:r w:rsidR="00F0338A">
        <w:t xml:space="preserve">submissions in October 2024 </w:t>
      </w:r>
      <w:r w:rsidR="002F4EC8">
        <w:t xml:space="preserve">and AWS comments in November 2024 on the </w:t>
      </w:r>
      <w:r w:rsidR="00763A3E">
        <w:t xml:space="preserve">draft plan. </w:t>
      </w:r>
      <w:r w:rsidRPr="00A71E44">
        <w:t xml:space="preserve">We </w:t>
      </w:r>
      <w:r w:rsidR="00FD7ADF">
        <w:t xml:space="preserve">also </w:t>
      </w:r>
      <w:r w:rsidRPr="00A71E44">
        <w:t xml:space="preserve">attach </w:t>
      </w:r>
      <w:r w:rsidR="00FD7ADF">
        <w:t xml:space="preserve">AWS response to the </w:t>
      </w:r>
      <w:r w:rsidR="00A60FAA" w:rsidRPr="00A60FAA">
        <w:t>Leicestershire, Leicester, and Rutland (LLR) Draft Local Nature Recovery Strateg</w:t>
      </w:r>
      <w:r w:rsidR="00A60FAA">
        <w:t xml:space="preserve">y consultation </w:t>
      </w:r>
      <w:r w:rsidRPr="00A71E44">
        <w:t>for completeness to this Regulation 19 response.</w:t>
      </w:r>
    </w:p>
    <w:p w14:paraId="2C45B11B" w14:textId="77777777" w:rsidR="00A71E44" w:rsidRPr="00A71E44" w:rsidRDefault="00A71E44" w:rsidP="00A71E44">
      <w:pPr>
        <w:jc w:val="both"/>
      </w:pPr>
      <w:r w:rsidRPr="00A71E44">
        <w:rPr>
          <w:b/>
          <w:bCs/>
        </w:rPr>
        <w:t>1</w:t>
      </w:r>
      <w:r w:rsidRPr="00A71E44">
        <w:rPr>
          <w:b/>
          <w:bCs/>
        </w:rPr>
        <w:tab/>
        <w:t>AWS</w:t>
      </w:r>
    </w:p>
    <w:p w14:paraId="08A826F6" w14:textId="16D83905" w:rsidR="00A71E44" w:rsidRPr="00A71E44" w:rsidRDefault="00A71E44" w:rsidP="00A71E44">
      <w:pPr>
        <w:jc w:val="both"/>
      </w:pPr>
      <w:r w:rsidRPr="00D92D9B">
        <w:t xml:space="preserve">1.1 </w:t>
      </w:r>
      <w:r w:rsidRPr="00D92D9B">
        <w:tab/>
      </w:r>
      <w:r w:rsidRPr="00A71E44">
        <w:t xml:space="preserve">AWS is the water and water recycling provider and water wholesaler for over 6 million domestic and non- domestic customers in the east of England. Our operational area spans the Humber to the Thames and includes around a fifth of the English coastline. The region is the driest in the UK and the lowest lying, with a quarter of our area below sea level. This makes it particularly vulnerable to the impacts of climate change including heightened risks of both drought and flooding, including inundation by the sea. </w:t>
      </w:r>
      <w:r w:rsidR="00D92D9B">
        <w:t xml:space="preserve">Harborough </w:t>
      </w:r>
      <w:r w:rsidRPr="00A71E44">
        <w:t>is on the western edge of the area AW</w:t>
      </w:r>
      <w:r w:rsidR="00874845">
        <w:t>S</w:t>
      </w:r>
      <w:r w:rsidRPr="00A71E44">
        <w:t xml:space="preserve"> serves. The Met Office’s 2024 Local Climate Explorer indicates that winter rainfall in </w:t>
      </w:r>
      <w:r w:rsidR="003C7D70">
        <w:t xml:space="preserve">Harborough </w:t>
      </w:r>
      <w:r w:rsidRPr="00A71E44">
        <w:t xml:space="preserve">will increase by 6% with a 2- degree increase in global temperature due to climate change. A 4-degree increase would result in a </w:t>
      </w:r>
      <w:r w:rsidR="00037427">
        <w:t>20</w:t>
      </w:r>
      <w:r w:rsidRPr="00A71E44">
        <w:t xml:space="preserve">% increase in winter rainfall. </w:t>
      </w:r>
    </w:p>
    <w:p w14:paraId="35EB7027" w14:textId="3AA63FD2" w:rsidR="00A71E44" w:rsidRPr="00A71E44" w:rsidRDefault="00037427" w:rsidP="00A71E44">
      <w:pPr>
        <w:jc w:val="both"/>
      </w:pPr>
      <w:r w:rsidRPr="00417F0F">
        <w:t xml:space="preserve">1.2 </w:t>
      </w:r>
      <w:r w:rsidRPr="00417F0F">
        <w:tab/>
      </w:r>
      <w:r w:rsidR="00A71E44" w:rsidRPr="00A71E44">
        <w:t xml:space="preserve">AWS provides water services to </w:t>
      </w:r>
      <w:r w:rsidR="0050707F" w:rsidRPr="00417F0F">
        <w:t xml:space="preserve">Great Easton </w:t>
      </w:r>
      <w:r w:rsidR="00A71E44" w:rsidRPr="00A71E44">
        <w:t xml:space="preserve">on the east of </w:t>
      </w:r>
      <w:r w:rsidR="0050707F" w:rsidRPr="00417F0F">
        <w:t xml:space="preserve">the district </w:t>
      </w:r>
      <w:r w:rsidR="00A71E44" w:rsidRPr="00A71E44">
        <w:t xml:space="preserve">and water recycling services to </w:t>
      </w:r>
      <w:r w:rsidR="00252E09" w:rsidRPr="00417F0F">
        <w:t xml:space="preserve">the </w:t>
      </w:r>
      <w:r w:rsidR="00546558" w:rsidRPr="00417F0F">
        <w:t>southeast</w:t>
      </w:r>
      <w:r w:rsidR="00252E09" w:rsidRPr="00417F0F">
        <w:t xml:space="preserve"> half of the district </w:t>
      </w:r>
      <w:r w:rsidR="00A71E44" w:rsidRPr="00A71E44">
        <w:t xml:space="preserve">most of the county, </w:t>
      </w:r>
      <w:r w:rsidR="00F54242" w:rsidRPr="00417F0F">
        <w:t xml:space="preserve">including </w:t>
      </w:r>
      <w:r w:rsidR="00C82830" w:rsidRPr="00417F0F">
        <w:t xml:space="preserve">Market Harborough and Kibworth. </w:t>
      </w:r>
      <w:r w:rsidR="00627441" w:rsidRPr="00417F0F">
        <w:t xml:space="preserve">In December 2024 our </w:t>
      </w:r>
      <w:r w:rsidR="00A71E44" w:rsidRPr="00A71E44">
        <w:t>economic regulator</w:t>
      </w:r>
      <w:r w:rsidR="00627441" w:rsidRPr="00417F0F">
        <w:t xml:space="preserve"> </w:t>
      </w:r>
      <w:r w:rsidR="00A71E44" w:rsidRPr="00A71E44">
        <w:t xml:space="preserve">Ofwat </w:t>
      </w:r>
      <w:r w:rsidR="00627441" w:rsidRPr="00417F0F">
        <w:t xml:space="preserve">approved AWS’s </w:t>
      </w:r>
      <w:r w:rsidR="00A71E44" w:rsidRPr="00A71E44">
        <w:t>plans to invest over £</w:t>
      </w:r>
      <w:r w:rsidR="0062769E" w:rsidRPr="00417F0F">
        <w:t xml:space="preserve">25 </w:t>
      </w:r>
      <w:r w:rsidR="00A71E44" w:rsidRPr="00A71E44">
        <w:t xml:space="preserve">million </w:t>
      </w:r>
      <w:r w:rsidR="00766ABC" w:rsidRPr="00417F0F">
        <w:t xml:space="preserve">in the district </w:t>
      </w:r>
      <w:r w:rsidR="00A71E44" w:rsidRPr="00A71E44">
        <w:t>between 2025 and 2030 on water recycling capacity and environmental projects. The Environment Agency (EA), as the environmental regulator has commented on AWS’ two business plans and will be the approval body for specific environmental improvement projects and permitting. Planning approval for wa</w:t>
      </w:r>
      <w:r w:rsidR="00766ABC" w:rsidRPr="00417F0F">
        <w:t xml:space="preserve">stewater </w:t>
      </w:r>
      <w:r w:rsidR="00A71E44" w:rsidRPr="00A71E44">
        <w:t xml:space="preserve">sector projects sits with </w:t>
      </w:r>
      <w:r w:rsidR="00417F0F" w:rsidRPr="00417F0F">
        <w:t xml:space="preserve">Leicestershire Council as the waste planning authority. </w:t>
      </w:r>
    </w:p>
    <w:p w14:paraId="243A5845" w14:textId="43412E8F" w:rsidR="00A71E44" w:rsidRDefault="00417F0F" w:rsidP="00433068">
      <w:pPr>
        <w:jc w:val="both"/>
      </w:pPr>
      <w:r w:rsidRPr="00417F0F">
        <w:t xml:space="preserve">1.3 </w:t>
      </w:r>
      <w:r w:rsidRPr="00417F0F">
        <w:tab/>
      </w:r>
      <w:r w:rsidR="00A71E44" w:rsidRPr="00A71E44">
        <w:t xml:space="preserve">Our region has the highest rate of housing growth in England. The 2021 Census report identifies that growth in the East Midlands was 7.4% and East of England region 8.3% in the past decade against a national average of 6.6%. The 2021 census results show that the overall population of </w:t>
      </w:r>
      <w:r w:rsidR="004B7E1F">
        <w:t xml:space="preserve">Harborough </w:t>
      </w:r>
      <w:r w:rsidR="00A71E44" w:rsidRPr="00A71E44">
        <w:t>ha</w:t>
      </w:r>
      <w:r w:rsidR="004B7E1F">
        <w:t>d</w:t>
      </w:r>
      <w:r w:rsidR="00A71E44" w:rsidRPr="00A71E44">
        <w:t xml:space="preserve"> risen </w:t>
      </w:r>
      <w:r w:rsidR="00EB7D76">
        <w:t xml:space="preserve">to 97,600 </w:t>
      </w:r>
      <w:r w:rsidR="00727CD8">
        <w:t xml:space="preserve">since 2011, </w:t>
      </w:r>
      <w:r w:rsidR="00A71E44" w:rsidRPr="00A71E44">
        <w:t xml:space="preserve">an increase of </w:t>
      </w:r>
      <w:r w:rsidR="0016530E">
        <w:t xml:space="preserve">14.3%. </w:t>
      </w:r>
      <w:r w:rsidR="00A71E44" w:rsidRPr="00A71E44">
        <w:t xml:space="preserve">We note that </w:t>
      </w:r>
      <w:r w:rsidR="00B749AE">
        <w:t xml:space="preserve">the district’s </w:t>
      </w:r>
      <w:r w:rsidR="00A71E44" w:rsidRPr="00A71E44">
        <w:t xml:space="preserve">current Local Plan housing target is </w:t>
      </w:r>
      <w:r w:rsidR="009F54DE">
        <w:t xml:space="preserve">640 </w:t>
      </w:r>
      <w:r w:rsidR="00A71E44" w:rsidRPr="00A71E44">
        <w:t xml:space="preserve">homes a year and the </w:t>
      </w:r>
      <w:r w:rsidR="009F54DE">
        <w:t xml:space="preserve">December </w:t>
      </w:r>
      <w:r w:rsidR="00A71E44" w:rsidRPr="00A71E44">
        <w:t xml:space="preserve">2024 need figure is now </w:t>
      </w:r>
      <w:r w:rsidR="009F54DE">
        <w:t xml:space="preserve">723 </w:t>
      </w:r>
      <w:r w:rsidR="00A71E44" w:rsidRPr="00A71E44">
        <w:t>homes a year.</w:t>
      </w:r>
      <w:r w:rsidR="009F54DE">
        <w:t xml:space="preserve"> </w:t>
      </w:r>
      <w:r w:rsidR="003B17CD">
        <w:t xml:space="preserve">In </w:t>
      </w:r>
      <w:r w:rsidR="009F54DE">
        <w:t>Harboro</w:t>
      </w:r>
      <w:r w:rsidR="003B17CD">
        <w:t xml:space="preserve">ugh’s peak delivery year some 1126 </w:t>
      </w:r>
      <w:r w:rsidR="00EF0F7A">
        <w:t xml:space="preserve">homes were completed. The district has one of the highest new homes </w:t>
      </w:r>
      <w:r w:rsidR="00461F7C">
        <w:t>rate</w:t>
      </w:r>
      <w:r w:rsidR="00482FF7">
        <w:t>s</w:t>
      </w:r>
      <w:r w:rsidR="00461F7C">
        <w:t xml:space="preserve"> across our 58 LPAs with some 21.64 homes built each year per 1,00</w:t>
      </w:r>
      <w:r w:rsidR="00433068">
        <w:t>0 existing dwellings.</w:t>
      </w:r>
      <w:r w:rsidR="00A71E44" w:rsidRPr="00A71E44">
        <w:t xml:space="preserve"> The latest ONS figures for 2023-24 show that </w:t>
      </w:r>
      <w:r w:rsidR="00433068" w:rsidRPr="002A1B64">
        <w:t xml:space="preserve">717 </w:t>
      </w:r>
      <w:r w:rsidR="00A71E44" w:rsidRPr="00A71E44">
        <w:t xml:space="preserve">homes were completed in </w:t>
      </w:r>
      <w:r w:rsidR="00433068" w:rsidRPr="002A1B64">
        <w:t xml:space="preserve">the district. </w:t>
      </w:r>
    </w:p>
    <w:p w14:paraId="2BFDD1E6" w14:textId="6E2851AF" w:rsidR="00E80394" w:rsidRDefault="00E80394" w:rsidP="00433068">
      <w:pPr>
        <w:jc w:val="both"/>
      </w:pPr>
      <w:r>
        <w:t xml:space="preserve">1.4 </w:t>
      </w:r>
      <w:r>
        <w:tab/>
        <w:t xml:space="preserve">On </w:t>
      </w:r>
      <w:r w:rsidR="00F4744C">
        <w:t xml:space="preserve">22 April 2025, AWS advised all 58 Local Planning Authorities </w:t>
      </w:r>
      <w:r w:rsidR="00CA0709">
        <w:t xml:space="preserve">in or partly within the AWS region of the </w:t>
      </w:r>
      <w:r w:rsidR="00B9686A">
        <w:t xml:space="preserve">new </w:t>
      </w:r>
      <w:r w:rsidR="00CA0709">
        <w:t xml:space="preserve">position on </w:t>
      </w:r>
      <w:r w:rsidR="0015521D">
        <w:t xml:space="preserve">growth for the water recycling centres (WRC) which serve </w:t>
      </w:r>
      <w:r w:rsidR="00C06F35">
        <w:t xml:space="preserve">existing communities and new development. This follows previous advice to the Council </w:t>
      </w:r>
      <w:r w:rsidR="00295741">
        <w:t xml:space="preserve">that </w:t>
      </w:r>
      <w:r w:rsidR="001A16CB">
        <w:t>several of</w:t>
      </w:r>
      <w:r w:rsidR="00295741">
        <w:t xml:space="preserve"> the WRC were exceeding the permitted dry weather flows (DWF) and so would be unable to support </w:t>
      </w:r>
      <w:r w:rsidR="009B0060">
        <w:t xml:space="preserve">immediately </w:t>
      </w:r>
      <w:r w:rsidR="00295741">
        <w:t xml:space="preserve">growth if </w:t>
      </w:r>
      <w:r w:rsidR="005E68CC">
        <w:t xml:space="preserve">sites were allocated in these catchments. Eleven </w:t>
      </w:r>
      <w:r w:rsidR="00F213DE">
        <w:t xml:space="preserve">small </w:t>
      </w:r>
      <w:r w:rsidR="005E68CC">
        <w:t xml:space="preserve">WRC which </w:t>
      </w:r>
      <w:r w:rsidR="00F213DE">
        <w:t xml:space="preserve">serve </w:t>
      </w:r>
      <w:r w:rsidR="002203A2">
        <w:t xml:space="preserve">other </w:t>
      </w:r>
      <w:r w:rsidR="00F213DE">
        <w:t>villages</w:t>
      </w:r>
      <w:r w:rsidR="002203A2">
        <w:t xml:space="preserve">/ hamlets (as </w:t>
      </w:r>
      <w:r w:rsidR="00703544">
        <w:t xml:space="preserve">referenced in policy DS01 of the plan) and which have </w:t>
      </w:r>
      <w:r w:rsidR="00F213DE">
        <w:t>des</w:t>
      </w:r>
      <w:r w:rsidR="00703544">
        <w:t xml:space="preserve">criptive permits from the </w:t>
      </w:r>
      <w:r w:rsidR="004732AD">
        <w:t xml:space="preserve">Environment Agency (EA) have no capacity to support growth. </w:t>
      </w:r>
    </w:p>
    <w:p w14:paraId="4B978CE8" w14:textId="3BC4AB50" w:rsidR="00C751CF" w:rsidRDefault="00C751CF" w:rsidP="00433068">
      <w:pPr>
        <w:jc w:val="both"/>
      </w:pPr>
      <w:r>
        <w:lastRenderedPageBreak/>
        <w:t>1.5 In summary</w:t>
      </w:r>
      <w:r w:rsidR="005E45D1">
        <w:t>,</w:t>
      </w:r>
      <w:r>
        <w:t xml:space="preserve"> the</w:t>
      </w:r>
      <w:r w:rsidR="005E45D1">
        <w:t xml:space="preserve"> </w:t>
      </w:r>
      <w:r>
        <w:t xml:space="preserve">April 2025 </w:t>
      </w:r>
      <w:r w:rsidR="005E45D1">
        <w:t xml:space="preserve">AWS </w:t>
      </w:r>
      <w:r>
        <w:t xml:space="preserve">position should applications come forward in those WRC catchments is </w:t>
      </w:r>
      <w:r w:rsidR="00ED085E">
        <w:t>that</w:t>
      </w:r>
      <w:r>
        <w:t xml:space="preserve"> AWS </w:t>
      </w:r>
      <w:r w:rsidR="005E1C55">
        <w:t xml:space="preserve">Development Service colleagues </w:t>
      </w:r>
      <w:r>
        <w:t>would:</w:t>
      </w:r>
    </w:p>
    <w:p w14:paraId="7BCBF2A1" w14:textId="76F9A437" w:rsidR="00B54D23" w:rsidRDefault="00477D92" w:rsidP="00E73CD7">
      <w:pPr>
        <w:pStyle w:val="ListParagraph"/>
        <w:numPr>
          <w:ilvl w:val="0"/>
          <w:numId w:val="14"/>
        </w:numPr>
        <w:jc w:val="both"/>
      </w:pPr>
      <w:r>
        <w:t xml:space="preserve">Support applications in </w:t>
      </w:r>
      <w:r w:rsidR="009B73FB">
        <w:t>East Langton/ Church Langton, Kibworth and Tugby</w:t>
      </w:r>
      <w:r w:rsidR="00CD3A29">
        <w:t xml:space="preserve">, </w:t>
      </w:r>
      <w:r w:rsidR="001A16CB">
        <w:t>and</w:t>
      </w:r>
      <w:r w:rsidR="00CD3A29">
        <w:t xml:space="preserve"> Mowsley</w:t>
      </w:r>
      <w:r w:rsidR="00D06A5D">
        <w:t>.</w:t>
      </w:r>
      <w:r w:rsidR="00EF78CE">
        <w:t xml:space="preserve"> </w:t>
      </w:r>
      <w:r w:rsidR="008464D5">
        <w:t xml:space="preserve">This would support some </w:t>
      </w:r>
      <w:r w:rsidR="00E46BBE">
        <w:t xml:space="preserve">74 existing commitments and </w:t>
      </w:r>
      <w:r w:rsidR="00C7344E">
        <w:t>491 new home allocations.</w:t>
      </w:r>
      <w:r w:rsidR="00EF78CE" w:rsidRPr="00EF78CE">
        <w:t xml:space="preserve"> </w:t>
      </w:r>
      <w:r w:rsidR="00EF78CE" w:rsidRPr="00EF78CE">
        <w:t xml:space="preserve">We note though that no allocations are made in the </w:t>
      </w:r>
      <w:r w:rsidR="00EF78CE">
        <w:t xml:space="preserve">draft </w:t>
      </w:r>
      <w:r w:rsidR="00EF78CE" w:rsidRPr="00EF78CE">
        <w:t>Plan in Mowsley</w:t>
      </w:r>
    </w:p>
    <w:p w14:paraId="139DBE58" w14:textId="27C98C92" w:rsidR="00E73CD7" w:rsidRDefault="00156AF5" w:rsidP="00E73CD7">
      <w:pPr>
        <w:pStyle w:val="ListParagraph"/>
        <w:numPr>
          <w:ilvl w:val="0"/>
          <w:numId w:val="14"/>
        </w:numPr>
        <w:jc w:val="both"/>
      </w:pPr>
      <w:r>
        <w:t xml:space="preserve">Seek </w:t>
      </w:r>
      <w:r w:rsidR="00CA2395">
        <w:t>preoccupation</w:t>
      </w:r>
      <w:r>
        <w:t xml:space="preserve"> condition</w:t>
      </w:r>
      <w:r w:rsidR="00EF78CE">
        <w:t>(</w:t>
      </w:r>
      <w:r>
        <w:t>s</w:t>
      </w:r>
      <w:r w:rsidR="00EF78CE">
        <w:t>)</w:t>
      </w:r>
      <w:r>
        <w:t xml:space="preserve"> for development in Foxton, </w:t>
      </w:r>
      <w:r w:rsidR="00520D82">
        <w:t>Medbourne, Market Harborough</w:t>
      </w:r>
      <w:r w:rsidR="00CE480F">
        <w:t>/ Great Bowden/ Lubenham, and Tilton on the Hill</w:t>
      </w:r>
      <w:r w:rsidR="005E7F9D">
        <w:t xml:space="preserve"> catchments</w:t>
      </w:r>
      <w:r w:rsidR="00C7344E">
        <w:t xml:space="preserve">. This would </w:t>
      </w:r>
      <w:r w:rsidR="00DB2529">
        <w:t>support approval</w:t>
      </w:r>
      <w:r w:rsidR="00B44E2D">
        <w:t xml:space="preserve"> by the Council </w:t>
      </w:r>
      <w:r w:rsidR="00DB2529">
        <w:t xml:space="preserve">subject to conditions and investment by AWS over the next five years to </w:t>
      </w:r>
      <w:r w:rsidR="00B21221">
        <w:t xml:space="preserve">deliver </w:t>
      </w:r>
      <w:r w:rsidR="00E51B3E">
        <w:t>some 2</w:t>
      </w:r>
      <w:r w:rsidR="006C1343">
        <w:t>,</w:t>
      </w:r>
      <w:r w:rsidR="00E51B3E">
        <w:t>142 existing commitments and 1</w:t>
      </w:r>
      <w:r w:rsidR="006C1343">
        <w:t>,</w:t>
      </w:r>
      <w:r w:rsidR="00E51B3E">
        <w:t xml:space="preserve">534 new homes </w:t>
      </w:r>
      <w:r w:rsidR="00970321">
        <w:t>up to 2041.</w:t>
      </w:r>
      <w:r w:rsidR="00B44E2D">
        <w:t xml:space="preserve"> That investment has been agreed by Ofwat </w:t>
      </w:r>
      <w:r w:rsidR="00C6772E">
        <w:t xml:space="preserve">for 2025-2030, although this is currently the subject of a challenge by AWS to the CMA which may not be concluded until </w:t>
      </w:r>
      <w:r w:rsidR="00310961">
        <w:t>March 2026.</w:t>
      </w:r>
      <w:r w:rsidR="000A4416">
        <w:t xml:space="preserve"> The </w:t>
      </w:r>
      <w:r w:rsidR="00646F21">
        <w:t xml:space="preserve">AWS </w:t>
      </w:r>
      <w:r w:rsidR="000A4416">
        <w:t xml:space="preserve">current planned level </w:t>
      </w:r>
      <w:r w:rsidR="006C7275">
        <w:t>of</w:t>
      </w:r>
      <w:r w:rsidR="000A4416">
        <w:t xml:space="preserve"> invest</w:t>
      </w:r>
      <w:r w:rsidR="006C7275">
        <w:t xml:space="preserve">ment is </w:t>
      </w:r>
      <w:r w:rsidR="00F27F5B">
        <w:t>£</w:t>
      </w:r>
      <w:r w:rsidR="00E52B8B">
        <w:t>5.9m</w:t>
      </w:r>
      <w:r w:rsidR="007F5586">
        <w:t xml:space="preserve"> </w:t>
      </w:r>
      <w:r w:rsidR="00153A78">
        <w:t xml:space="preserve">and is principally </w:t>
      </w:r>
      <w:r w:rsidR="007F5586">
        <w:t>to increase WRC capacity</w:t>
      </w:r>
      <w:r w:rsidR="00153A78">
        <w:t xml:space="preserve"> at Foxton</w:t>
      </w:r>
      <w:r w:rsidR="004159E2">
        <w:t xml:space="preserve">, Medbourne, </w:t>
      </w:r>
      <w:r w:rsidR="005B0561">
        <w:t>Market Harborough and Tilton on the Hill</w:t>
      </w:r>
      <w:r w:rsidR="00153A78">
        <w:t xml:space="preserve">. </w:t>
      </w:r>
      <w:r w:rsidR="007F5586">
        <w:t xml:space="preserve"> </w:t>
      </w:r>
    </w:p>
    <w:p w14:paraId="48EC3C25" w14:textId="472AC84E" w:rsidR="0024425E" w:rsidRDefault="00CE480F" w:rsidP="00E73CD7">
      <w:pPr>
        <w:pStyle w:val="ListParagraph"/>
        <w:numPr>
          <w:ilvl w:val="0"/>
          <w:numId w:val="14"/>
        </w:numPr>
        <w:jc w:val="both"/>
      </w:pPr>
      <w:r>
        <w:t xml:space="preserve">Object to </w:t>
      </w:r>
      <w:r w:rsidR="00CA2395">
        <w:t xml:space="preserve">housing applications in Great Easton, </w:t>
      </w:r>
      <w:r w:rsidR="00010178">
        <w:t>Hallaton</w:t>
      </w:r>
      <w:r w:rsidR="00004539">
        <w:t xml:space="preserve"> and</w:t>
      </w:r>
      <w:r w:rsidR="00010178">
        <w:t xml:space="preserve"> Husbands Bosworth</w:t>
      </w:r>
      <w:r w:rsidR="00004539">
        <w:t xml:space="preserve"> which came forward before 2030.</w:t>
      </w:r>
      <w:r w:rsidR="007975DE">
        <w:t xml:space="preserve"> These WRC have no </w:t>
      </w:r>
      <w:r w:rsidR="00BF633E">
        <w:t xml:space="preserve">AWS </w:t>
      </w:r>
      <w:r w:rsidR="007975DE">
        <w:t xml:space="preserve">funding for growth from 2025 to 2030. </w:t>
      </w:r>
      <w:r w:rsidR="00004539">
        <w:t xml:space="preserve"> This </w:t>
      </w:r>
      <w:r w:rsidR="00BD7A67">
        <w:t xml:space="preserve">means that some </w:t>
      </w:r>
      <w:r w:rsidR="002A5EFD">
        <w:t xml:space="preserve">55 commitments and 151new </w:t>
      </w:r>
      <w:r w:rsidR="00607775">
        <w:t xml:space="preserve">homes in </w:t>
      </w:r>
      <w:r w:rsidR="002A5EFD">
        <w:t xml:space="preserve">allocations in the Plan </w:t>
      </w:r>
      <w:r w:rsidR="001068EE">
        <w:t>should be phased for delivery after 2030</w:t>
      </w:r>
      <w:r w:rsidR="00607775">
        <w:t xml:space="preserve">, </w:t>
      </w:r>
      <w:r w:rsidR="001068EE">
        <w:t xml:space="preserve">when AWS would be seeking </w:t>
      </w:r>
      <w:r w:rsidR="0024425E">
        <w:t>funding from Ofwat to increase capacity at these WRC.</w:t>
      </w:r>
      <w:r w:rsidR="00E7627D">
        <w:t xml:space="preserve"> That investment would be for the DWMP and AWS Plan from 2030 to 2035. </w:t>
      </w:r>
      <w:r w:rsidR="0024425E">
        <w:t xml:space="preserve"> </w:t>
      </w:r>
      <w:r w:rsidR="00500570">
        <w:t xml:space="preserve">The Council may wish to </w:t>
      </w:r>
      <w:r w:rsidR="00962679">
        <w:t xml:space="preserve">review </w:t>
      </w:r>
      <w:r w:rsidR="00DD2825">
        <w:t xml:space="preserve">how </w:t>
      </w:r>
      <w:r w:rsidR="00962679">
        <w:t xml:space="preserve">these </w:t>
      </w:r>
      <w:r w:rsidR="00500570">
        <w:t xml:space="preserve">sites </w:t>
      </w:r>
      <w:r w:rsidR="00DD2825">
        <w:t>are considered in assessing de</w:t>
      </w:r>
      <w:r w:rsidR="00AC46F2">
        <w:t xml:space="preserve">velopability and deliverability as part of the </w:t>
      </w:r>
      <w:r w:rsidR="00A4294D">
        <w:t>‘justified’ soundness test and in an updated evidence base for the draft Plan.</w:t>
      </w:r>
    </w:p>
    <w:p w14:paraId="276C1848" w14:textId="7AF16647" w:rsidR="00CE480F" w:rsidRDefault="0024425E" w:rsidP="00E73CD7">
      <w:pPr>
        <w:pStyle w:val="ListParagraph"/>
        <w:numPr>
          <w:ilvl w:val="0"/>
          <w:numId w:val="14"/>
        </w:numPr>
        <w:jc w:val="both"/>
      </w:pPr>
      <w:r>
        <w:t>Object to applications in the e</w:t>
      </w:r>
      <w:r w:rsidR="00F85847">
        <w:t xml:space="preserve">leven </w:t>
      </w:r>
      <w:r w:rsidR="00A937F2">
        <w:t xml:space="preserve">descriptive </w:t>
      </w:r>
      <w:r w:rsidR="00F85847">
        <w:t xml:space="preserve">WRC </w:t>
      </w:r>
      <w:r w:rsidR="00A937F2">
        <w:t>catchments</w:t>
      </w:r>
      <w:r w:rsidR="00AA6170">
        <w:t>. AWS notes there are no allocations in these ‘Other Villages/ Hamlets</w:t>
      </w:r>
      <w:r w:rsidR="006A5809">
        <w:t>’ as defined by the Plan.</w:t>
      </w:r>
      <w:r w:rsidR="00F85847">
        <w:t xml:space="preserve"> </w:t>
      </w:r>
      <w:r w:rsidR="00010178">
        <w:t xml:space="preserve"> </w:t>
      </w:r>
    </w:p>
    <w:p w14:paraId="4FA8415D" w14:textId="27BEB310" w:rsidR="00C751CF" w:rsidRPr="00A71E44" w:rsidRDefault="00C751CF" w:rsidP="00E73CD7">
      <w:pPr>
        <w:pStyle w:val="ListParagraph"/>
        <w:ind w:left="1160"/>
        <w:jc w:val="both"/>
      </w:pPr>
    </w:p>
    <w:p w14:paraId="5AC7FB5A" w14:textId="77777777" w:rsidR="00A71E44" w:rsidRPr="00A71E44" w:rsidRDefault="00A71E44" w:rsidP="00A71E44">
      <w:pPr>
        <w:jc w:val="both"/>
      </w:pPr>
      <w:r w:rsidRPr="00A71E44">
        <w:rPr>
          <w:b/>
          <w:bCs/>
        </w:rPr>
        <w:t>2</w:t>
      </w:r>
      <w:r w:rsidRPr="00A71E44">
        <w:rPr>
          <w:b/>
          <w:bCs/>
        </w:rPr>
        <w:tab/>
        <w:t>AWS and Local Plans</w:t>
      </w:r>
    </w:p>
    <w:p w14:paraId="4502A23B" w14:textId="17A5F5E4" w:rsidR="00A71E44" w:rsidRPr="00A71E44" w:rsidRDefault="00A71E44" w:rsidP="00A71E44">
      <w:pPr>
        <w:jc w:val="both"/>
      </w:pPr>
      <w:r w:rsidRPr="00A71E44">
        <w:t>2.1</w:t>
      </w:r>
      <w:r w:rsidRPr="00A71E44">
        <w:tab/>
      </w:r>
      <w:r w:rsidR="0063071E" w:rsidRPr="002A1B64">
        <w:t>A</w:t>
      </w:r>
      <w:r w:rsidR="00DC1E89">
        <w:t>WS</w:t>
      </w:r>
      <w:r w:rsidR="0063071E" w:rsidRPr="002A1B64">
        <w:t xml:space="preserve"> is the </w:t>
      </w:r>
      <w:r w:rsidRPr="00A71E44">
        <w:t xml:space="preserve">statutory water company for a </w:t>
      </w:r>
      <w:r w:rsidR="00BB11B8">
        <w:t xml:space="preserve">very </w:t>
      </w:r>
      <w:r w:rsidRPr="00A71E44">
        <w:t xml:space="preserve">small part of </w:t>
      </w:r>
      <w:r w:rsidR="0063071E" w:rsidRPr="002A1B64">
        <w:t xml:space="preserve">the </w:t>
      </w:r>
      <w:r w:rsidR="00ED085E" w:rsidRPr="002A1B64">
        <w:t>district,</w:t>
      </w:r>
      <w:r w:rsidR="0063071E" w:rsidRPr="002A1B64">
        <w:t xml:space="preserve"> </w:t>
      </w:r>
      <w:r w:rsidR="006C6EC3">
        <w:t xml:space="preserve">so </w:t>
      </w:r>
      <w:r w:rsidR="00D23D72" w:rsidRPr="002A1B64">
        <w:t xml:space="preserve">our comments mainly relate to </w:t>
      </w:r>
      <w:r w:rsidRPr="00A71E44">
        <w:t xml:space="preserve">sewerage </w:t>
      </w:r>
      <w:r w:rsidR="00D23D72" w:rsidRPr="002A1B64">
        <w:t>infrastructure and drainage matters</w:t>
      </w:r>
      <w:r w:rsidR="00537056" w:rsidRPr="002A1B64">
        <w:t xml:space="preserve"> as </w:t>
      </w:r>
      <w:r w:rsidRPr="00A71E44">
        <w:t>a statutory consultee under The Town and Country Planning (Local Planning) (England) Regulations 2012. Across our 58 local planning authority councils the Local Plans delivered some 4</w:t>
      </w:r>
      <w:r w:rsidR="002A1B64" w:rsidRPr="002A1B64">
        <w:t>2</w:t>
      </w:r>
      <w:r w:rsidRPr="00A71E44">
        <w:t>,000 new homes in 202</w:t>
      </w:r>
      <w:r w:rsidR="002A1B64" w:rsidRPr="002A1B64">
        <w:t>3</w:t>
      </w:r>
      <w:r w:rsidRPr="00A71E44">
        <w:t>/2</w:t>
      </w:r>
      <w:r w:rsidR="002A1B64" w:rsidRPr="002A1B64">
        <w:t>4</w:t>
      </w:r>
      <w:r w:rsidRPr="00A71E44">
        <w:t xml:space="preserve">, each connected to water and water recycling infrastructure. The government’s </w:t>
      </w:r>
      <w:r w:rsidR="002A1B64" w:rsidRPr="002A1B64">
        <w:t xml:space="preserve">December </w:t>
      </w:r>
      <w:r w:rsidRPr="00A71E44">
        <w:t xml:space="preserve">2024 housing need target </w:t>
      </w:r>
      <w:r w:rsidR="002A1B64" w:rsidRPr="002A1B64">
        <w:t xml:space="preserve">requires </w:t>
      </w:r>
      <w:r w:rsidRPr="00A71E44">
        <w:t xml:space="preserve">that housing growth needs to increase by some 40% in our region to deliver around 60,000 homes a year. </w:t>
      </w:r>
    </w:p>
    <w:p w14:paraId="111698EA" w14:textId="2C37D0DB" w:rsidR="00A71E44" w:rsidRPr="00A71E44" w:rsidRDefault="00A71E44" w:rsidP="00A71E44">
      <w:pPr>
        <w:jc w:val="both"/>
      </w:pPr>
      <w:r w:rsidRPr="00A71E44">
        <w:t xml:space="preserve">2.2 </w:t>
      </w:r>
      <w:r w:rsidRPr="00A71E44">
        <w:tab/>
        <w:t>AWS proactively engages with the local plan process to ensure the plan delivers benefits for residents</w:t>
      </w:r>
      <w:r w:rsidR="00EA0A18">
        <w:t xml:space="preserve"> and </w:t>
      </w:r>
      <w:r w:rsidR="002A1B64">
        <w:t>b</w:t>
      </w:r>
      <w:r w:rsidR="00EA0A18">
        <w:t>usiness</w:t>
      </w:r>
      <w:r w:rsidRPr="00A71E44">
        <w:t xml:space="preserve"> </w:t>
      </w:r>
      <w:r w:rsidR="00EA0A18">
        <w:t>in</w:t>
      </w:r>
      <w:r w:rsidRPr="00A71E44">
        <w:t xml:space="preserve"> the area, and in doing so protects the environment and water resources. We have worked with the Council on preparatory work for the Plan and most recently provided comments on </w:t>
      </w:r>
      <w:r w:rsidR="00F829A5">
        <w:t>a</w:t>
      </w:r>
      <w:r w:rsidRPr="00A71E44">
        <w:t xml:space="preserve"> </w:t>
      </w:r>
      <w:r w:rsidR="00F829A5">
        <w:t xml:space="preserve">draft Regulation </w:t>
      </w:r>
      <w:r w:rsidR="00832716">
        <w:t xml:space="preserve">19 </w:t>
      </w:r>
      <w:r w:rsidR="00F829A5">
        <w:t xml:space="preserve">Plan and the </w:t>
      </w:r>
      <w:r w:rsidRPr="00A71E44">
        <w:t xml:space="preserve">Infrastructure Delivery Plan. We have also supported and commented on </w:t>
      </w:r>
      <w:r w:rsidR="001A16CB" w:rsidRPr="00A71E44">
        <w:t>several of</w:t>
      </w:r>
      <w:r w:rsidRPr="00A71E44">
        <w:t xml:space="preserve"> the Neighbourhood Plans which are progressing in parishes areas across </w:t>
      </w:r>
      <w:r w:rsidR="00F829A5">
        <w:t>the district.</w:t>
      </w:r>
    </w:p>
    <w:p w14:paraId="2AF4F691" w14:textId="77777777" w:rsidR="00A71E44" w:rsidRPr="00A71E44" w:rsidRDefault="00A71E44" w:rsidP="00A71E44">
      <w:pPr>
        <w:jc w:val="both"/>
        <w:rPr>
          <w:b/>
          <w:bCs/>
        </w:rPr>
      </w:pPr>
      <w:r w:rsidRPr="00A71E44">
        <w:rPr>
          <w:b/>
          <w:bCs/>
        </w:rPr>
        <w:t>3</w:t>
      </w:r>
      <w:r w:rsidRPr="00A71E44">
        <w:rPr>
          <w:b/>
          <w:bCs/>
        </w:rPr>
        <w:tab/>
        <w:t>Comments on the New Local Plan</w:t>
      </w:r>
    </w:p>
    <w:p w14:paraId="12A3DCF0" w14:textId="14469AC9" w:rsidR="00A71E44" w:rsidRPr="00A71E44" w:rsidRDefault="00A71E44" w:rsidP="00A71E44">
      <w:pPr>
        <w:jc w:val="both"/>
        <w:rPr>
          <w:b/>
          <w:bCs/>
        </w:rPr>
      </w:pPr>
      <w:r w:rsidRPr="00A71E44">
        <w:t xml:space="preserve">3.1 </w:t>
      </w:r>
      <w:r w:rsidRPr="00A71E44">
        <w:tab/>
        <w:t xml:space="preserve">AWS welcomes the opportunity to comment on the Final Draft of the </w:t>
      </w:r>
      <w:r w:rsidR="00A149AA">
        <w:t>n</w:t>
      </w:r>
      <w:r w:rsidRPr="00A71E44">
        <w:t xml:space="preserve">ew Local Plan </w:t>
      </w:r>
      <w:r w:rsidR="00DE6E94">
        <w:t xml:space="preserve">2020-2041 </w:t>
      </w:r>
      <w:r w:rsidRPr="00A71E44">
        <w:t>and its ‘soundness’</w:t>
      </w:r>
      <w:r w:rsidR="001314A4">
        <w:t xml:space="preserve"> (NPPF, para </w:t>
      </w:r>
      <w:r w:rsidR="00820A8F">
        <w:t>36)</w:t>
      </w:r>
      <w:r w:rsidRPr="00A71E44">
        <w:t xml:space="preserve">. AWS’s response focus on the issues most relevant to our role as an essential infrastructure provider as set out in the </w:t>
      </w:r>
      <w:bookmarkStart w:id="0" w:name="_Int_fkZYLB8U"/>
      <w:r w:rsidRPr="00A71E44">
        <w:t>NPPF</w:t>
      </w:r>
      <w:bookmarkEnd w:id="0"/>
      <w:r w:rsidRPr="00A71E44">
        <w:t xml:space="preserve">. As a purpose led organisation our commitment remains to seeking positive environmental and socio- economic </w:t>
      </w:r>
      <w:r w:rsidRPr="00A71E44">
        <w:lastRenderedPageBreak/>
        <w:t>outcomes for our region.</w:t>
      </w:r>
      <w:r w:rsidR="00124917">
        <w:t xml:space="preserve"> </w:t>
      </w:r>
      <w:r w:rsidR="00E00ED2" w:rsidRPr="00E00ED2">
        <w:t>Comments are made with reference to paragraph and/ or policy numbers.</w:t>
      </w:r>
    </w:p>
    <w:p w14:paraId="335FA8DF" w14:textId="77777777" w:rsidR="00A71E44" w:rsidRDefault="00A71E44" w:rsidP="00A71E44">
      <w:pPr>
        <w:jc w:val="both"/>
        <w:rPr>
          <w:b/>
          <w:bCs/>
        </w:rPr>
      </w:pPr>
      <w:r w:rsidRPr="00A71E44">
        <w:rPr>
          <w:b/>
          <w:bCs/>
        </w:rPr>
        <w:t>4</w:t>
      </w:r>
      <w:r w:rsidRPr="00A71E44">
        <w:rPr>
          <w:b/>
          <w:bCs/>
        </w:rPr>
        <w:tab/>
        <w:t>Regulation 19 draft Local Plan</w:t>
      </w:r>
    </w:p>
    <w:p w14:paraId="3F70F001" w14:textId="10870D8C" w:rsidR="000B1374" w:rsidRPr="000B1374" w:rsidRDefault="000B1374" w:rsidP="00A71E44">
      <w:pPr>
        <w:jc w:val="both"/>
      </w:pPr>
      <w:r>
        <w:t xml:space="preserve">Our comments are made with reference to the Chapters and paragraph numbers. </w:t>
      </w:r>
    </w:p>
    <w:p w14:paraId="1E7D213F" w14:textId="2A4BEF09" w:rsidR="00B84229" w:rsidRDefault="008233EC" w:rsidP="00A71E44">
      <w:pPr>
        <w:jc w:val="both"/>
        <w:rPr>
          <w:b/>
          <w:bCs/>
        </w:rPr>
      </w:pPr>
      <w:r>
        <w:rPr>
          <w:b/>
          <w:bCs/>
        </w:rPr>
        <w:t>Foreword</w:t>
      </w:r>
      <w:r w:rsidR="00E94B0D">
        <w:rPr>
          <w:b/>
          <w:bCs/>
        </w:rPr>
        <w:t xml:space="preserve"> and Vision </w:t>
      </w:r>
    </w:p>
    <w:p w14:paraId="352A2334" w14:textId="531EDB0D" w:rsidR="00D13376" w:rsidRDefault="00B84229" w:rsidP="00A71E44">
      <w:pPr>
        <w:jc w:val="both"/>
      </w:pPr>
      <w:r>
        <w:t xml:space="preserve">AWS </w:t>
      </w:r>
      <w:r w:rsidR="00547AC3">
        <w:t xml:space="preserve">considers that the Plan is </w:t>
      </w:r>
      <w:r w:rsidR="007409DB">
        <w:t>pos</w:t>
      </w:r>
      <w:r w:rsidR="00190401">
        <w:t>i</w:t>
      </w:r>
      <w:r w:rsidR="007409DB">
        <w:t xml:space="preserve">tively </w:t>
      </w:r>
      <w:r w:rsidR="00190401">
        <w:t xml:space="preserve">prepared and consistent with national policy – not least the Climate Change Act – as the </w:t>
      </w:r>
      <w:r w:rsidR="008233EC">
        <w:t xml:space="preserve">foreword </w:t>
      </w:r>
      <w:r w:rsidR="00C26FC9">
        <w:t xml:space="preserve">highlights the role which the Local Plan </w:t>
      </w:r>
      <w:r w:rsidR="00DA4A25">
        <w:t xml:space="preserve">and new developments </w:t>
      </w:r>
      <w:r w:rsidR="00C26FC9">
        <w:t xml:space="preserve">will </w:t>
      </w:r>
      <w:r w:rsidR="00B74581">
        <w:t xml:space="preserve">have in </w:t>
      </w:r>
      <w:r w:rsidR="00B4394C">
        <w:t>tak</w:t>
      </w:r>
      <w:r w:rsidR="00B74581">
        <w:t>ing</w:t>
      </w:r>
      <w:r w:rsidR="00B4394C">
        <w:t xml:space="preserve"> local action in </w:t>
      </w:r>
      <w:r w:rsidR="00D33077">
        <w:t>‘</w:t>
      </w:r>
      <w:r w:rsidR="00B4394C">
        <w:t xml:space="preserve">reducing </w:t>
      </w:r>
      <w:r w:rsidR="00D33077">
        <w:t>carbon emissions’ and to ‘</w:t>
      </w:r>
      <w:r w:rsidR="00B4394C">
        <w:t>address</w:t>
      </w:r>
      <w:r w:rsidR="00D33077">
        <w:t xml:space="preserve"> the impacts of climate change’.</w:t>
      </w:r>
      <w:r w:rsidR="00BA7B15">
        <w:t xml:space="preserve"> AWS </w:t>
      </w:r>
      <w:r w:rsidR="00685EC9">
        <w:t xml:space="preserve">supports the </w:t>
      </w:r>
      <w:r w:rsidR="00B74581">
        <w:t>‘</w:t>
      </w:r>
      <w:r w:rsidR="00685EC9">
        <w:t>new green and blue infra</w:t>
      </w:r>
      <w:r w:rsidR="00B64465">
        <w:t>structure</w:t>
      </w:r>
      <w:r w:rsidR="004C5D78">
        <w:t>’</w:t>
      </w:r>
      <w:r w:rsidR="00B64465">
        <w:t xml:space="preserve"> in well -designed places and considers that </w:t>
      </w:r>
      <w:r w:rsidR="000F57A5">
        <w:t xml:space="preserve">the recent update to the PPG enables this to be soundly evidenced </w:t>
      </w:r>
      <w:r w:rsidR="00ED1CD7">
        <w:t>and justified and then effectively deliv</w:t>
      </w:r>
      <w:r w:rsidR="002F14D1">
        <w:t>e</w:t>
      </w:r>
      <w:r w:rsidR="00ED1CD7">
        <w:t xml:space="preserve">red </w:t>
      </w:r>
      <w:r w:rsidR="002F14D1">
        <w:t xml:space="preserve">through the </w:t>
      </w:r>
      <w:r w:rsidR="0047125E">
        <w:t xml:space="preserve">implementation </w:t>
      </w:r>
      <w:r w:rsidR="002F14D1">
        <w:t>of the</w:t>
      </w:r>
      <w:r w:rsidR="002F14D1" w:rsidRPr="002F14D1">
        <w:t xml:space="preserve"> </w:t>
      </w:r>
      <w:r w:rsidR="00ED085E" w:rsidRPr="002F14D1">
        <w:t>LLR Local</w:t>
      </w:r>
      <w:r w:rsidR="002F14D1" w:rsidRPr="002F14D1">
        <w:t xml:space="preserve"> Nature Recovery Strategy</w:t>
      </w:r>
      <w:r w:rsidR="0047125E">
        <w:t xml:space="preserve"> (LNRS). </w:t>
      </w:r>
      <w:r w:rsidR="00764EF4">
        <w:t>The PPG update means that the Vision and policy does not need to be updated as this is now a requirement of LPAs</w:t>
      </w:r>
      <w:r w:rsidR="00D13376">
        <w:t xml:space="preserve"> in planning decisions. </w:t>
      </w:r>
    </w:p>
    <w:p w14:paraId="25C9DDC9" w14:textId="30BB8BED" w:rsidR="00A71E44" w:rsidRPr="000B1374" w:rsidRDefault="00685EC9" w:rsidP="00820A8F">
      <w:pPr>
        <w:jc w:val="both"/>
        <w:rPr>
          <w:b/>
          <w:bCs/>
        </w:rPr>
      </w:pPr>
      <w:r w:rsidRPr="000B1374">
        <w:t xml:space="preserve"> </w:t>
      </w:r>
      <w:r w:rsidR="00A71E44" w:rsidRPr="000B1374">
        <w:rPr>
          <w:b/>
          <w:bCs/>
        </w:rPr>
        <w:t>1</w:t>
      </w:r>
      <w:r w:rsidR="00A71E44" w:rsidRPr="000B1374">
        <w:rPr>
          <w:b/>
          <w:bCs/>
        </w:rPr>
        <w:tab/>
        <w:t>Introduction</w:t>
      </w:r>
    </w:p>
    <w:p w14:paraId="4C4E1E31" w14:textId="4A2CA19E" w:rsidR="00A71E44" w:rsidRPr="00B25093" w:rsidRDefault="00B25093" w:rsidP="00A71E44">
      <w:pPr>
        <w:jc w:val="both"/>
      </w:pPr>
      <w:r w:rsidRPr="00B25093">
        <w:t xml:space="preserve">1.3 </w:t>
      </w:r>
      <w:r w:rsidR="00A71E44" w:rsidRPr="00B25093">
        <w:t xml:space="preserve">AWS </w:t>
      </w:r>
      <w:r>
        <w:t xml:space="preserve">continues to work </w:t>
      </w:r>
      <w:r w:rsidR="00A71E44" w:rsidRPr="00B25093">
        <w:t xml:space="preserve">with Councils to assist them in locating development in accordance with the sustainability hierarchy. </w:t>
      </w:r>
      <w:r>
        <w:t>Our approach is that f</w:t>
      </w:r>
      <w:r w:rsidR="00A71E44" w:rsidRPr="00B25093">
        <w:t xml:space="preserve">irstly, development should be located to use existing infrastructure and natural capital so that the need for additional construction and land take is minimised. This then makes best use of the existing embedded (capital) carbon in those infrastructure and natural assets. Next the use of that infrastructure can be managed to increase its capacity either across the day or week or through process improvements. Again, this makes most effective use of the carbon and other resources in that asset. The least sustainable option is to locate development in locations which would require new infrastructure, and which are remote from existing networks increasing the costs of new infrastructure and which involve greenhouse gas emissions (GHG) in their production and use at or to serve new developments. </w:t>
      </w:r>
    </w:p>
    <w:p w14:paraId="19CE67B0" w14:textId="2CD66F95" w:rsidR="002F0921" w:rsidRPr="002F0921" w:rsidRDefault="002E1761" w:rsidP="00A71E44">
      <w:pPr>
        <w:jc w:val="both"/>
      </w:pPr>
      <w:r w:rsidRPr="002F0921">
        <w:t>1.8</w:t>
      </w:r>
      <w:r w:rsidR="002F0921" w:rsidRPr="002F0921">
        <w:t xml:space="preserve"> </w:t>
      </w:r>
      <w:r w:rsidR="00070E12">
        <w:t xml:space="preserve">AWS notes that the </w:t>
      </w:r>
      <w:r w:rsidR="00FD7AE3">
        <w:t xml:space="preserve">Council has in recent years delivered new homes at </w:t>
      </w:r>
      <w:r w:rsidR="000B329B">
        <w:t xml:space="preserve">a rate above the current local plan target and </w:t>
      </w:r>
      <w:r w:rsidR="002C2D9D">
        <w:t xml:space="preserve">at around 700 homes a year is near the December 2024 housing need figure of </w:t>
      </w:r>
      <w:r w:rsidR="00490DFE">
        <w:t xml:space="preserve">723 homes a year. </w:t>
      </w:r>
    </w:p>
    <w:p w14:paraId="03F95B94" w14:textId="77777777" w:rsidR="008B7CE2" w:rsidRDefault="00241917" w:rsidP="00A71E44">
      <w:pPr>
        <w:jc w:val="both"/>
      </w:pPr>
      <w:r w:rsidRPr="00241917">
        <w:t xml:space="preserve">1.9 AWS </w:t>
      </w:r>
      <w:r>
        <w:t>has in recent years dedicated more resource to supporting Neighbourhood Plans</w:t>
      </w:r>
      <w:r w:rsidR="005F592B">
        <w:t xml:space="preserve"> as we consider they enable local communities to shape future growth and pro</w:t>
      </w:r>
      <w:r w:rsidR="008B7CE2">
        <w:t xml:space="preserve">sperity through new development. </w:t>
      </w:r>
    </w:p>
    <w:p w14:paraId="2AF906C5" w14:textId="36B9C6CB" w:rsidR="007E3B37" w:rsidRDefault="00EC653B" w:rsidP="00A71E44">
      <w:pPr>
        <w:jc w:val="both"/>
      </w:pPr>
      <w:r>
        <w:t xml:space="preserve">1.12 AWS’s applications for waste related uses at our </w:t>
      </w:r>
      <w:r w:rsidR="00D62BFF">
        <w:t xml:space="preserve">22 </w:t>
      </w:r>
      <w:r w:rsidR="00ED085E">
        <w:t>WRCs</w:t>
      </w:r>
      <w:r w:rsidR="00D62BFF">
        <w:t xml:space="preserve"> in the district would be </w:t>
      </w:r>
      <w:r w:rsidR="007E3B37">
        <w:t>considered LCC</w:t>
      </w:r>
      <w:r w:rsidR="00241917">
        <w:t>.</w:t>
      </w:r>
    </w:p>
    <w:p w14:paraId="24C3E79C" w14:textId="188B40CE" w:rsidR="00EC14A6" w:rsidRDefault="00EC14A6" w:rsidP="00A71E44">
      <w:pPr>
        <w:jc w:val="both"/>
      </w:pPr>
      <w:r>
        <w:t xml:space="preserve">1.17 </w:t>
      </w:r>
      <w:r w:rsidR="00A15B06">
        <w:t xml:space="preserve">to 1.22 </w:t>
      </w:r>
      <w:r>
        <w:t xml:space="preserve">AWS welcomes the </w:t>
      </w:r>
      <w:r w:rsidR="00717183">
        <w:t>simple</w:t>
      </w:r>
      <w:r>
        <w:t xml:space="preserve"> explanation of </w:t>
      </w:r>
      <w:r w:rsidR="005D308C">
        <w:t xml:space="preserve">policy and supporting text which is not always as easily understood in other Local Plans. </w:t>
      </w:r>
      <w:r w:rsidR="00A15B06">
        <w:t xml:space="preserve">The subsequent </w:t>
      </w:r>
      <w:r w:rsidR="005E790F">
        <w:t xml:space="preserve">walk through of </w:t>
      </w:r>
      <w:r w:rsidR="006472E3">
        <w:t>how p</w:t>
      </w:r>
      <w:r w:rsidR="005E790F">
        <w:t xml:space="preserve">olicy </w:t>
      </w:r>
      <w:r w:rsidR="006472E3">
        <w:t xml:space="preserve">is applied </w:t>
      </w:r>
      <w:r w:rsidR="00F23E21">
        <w:t xml:space="preserve">assists </w:t>
      </w:r>
      <w:r w:rsidR="006472E3">
        <w:t xml:space="preserve">all people using the planning system and </w:t>
      </w:r>
      <w:r w:rsidR="00CF4B6F">
        <w:t xml:space="preserve">complies with the </w:t>
      </w:r>
      <w:r w:rsidR="00F40510">
        <w:t xml:space="preserve">justified and effective soundness tests. </w:t>
      </w:r>
    </w:p>
    <w:p w14:paraId="66CBD8B9" w14:textId="3790A5B5" w:rsidR="00F40510" w:rsidRPr="00455613" w:rsidRDefault="00F40510" w:rsidP="00A71E44">
      <w:pPr>
        <w:jc w:val="both"/>
        <w:rPr>
          <w:b/>
          <w:bCs/>
        </w:rPr>
      </w:pPr>
      <w:r w:rsidRPr="00455613">
        <w:rPr>
          <w:b/>
          <w:bCs/>
        </w:rPr>
        <w:t xml:space="preserve">2. </w:t>
      </w:r>
      <w:r w:rsidR="00455613" w:rsidRPr="00455613">
        <w:rPr>
          <w:b/>
          <w:bCs/>
        </w:rPr>
        <w:tab/>
        <w:t>About our District</w:t>
      </w:r>
    </w:p>
    <w:p w14:paraId="068121D1" w14:textId="67884601" w:rsidR="005D308C" w:rsidRDefault="00FF1076" w:rsidP="00A71E44">
      <w:pPr>
        <w:jc w:val="both"/>
      </w:pPr>
      <w:r>
        <w:t>2.1</w:t>
      </w:r>
      <w:r w:rsidR="00AF36A7">
        <w:t>4</w:t>
      </w:r>
      <w:r>
        <w:t xml:space="preserve"> AWS through our </w:t>
      </w:r>
      <w:r w:rsidR="006C14A5">
        <w:t xml:space="preserve">22 </w:t>
      </w:r>
      <w:r>
        <w:t>WRCs and water</w:t>
      </w:r>
      <w:r w:rsidR="006C14A5">
        <w:t xml:space="preserve"> recycling network serve some </w:t>
      </w:r>
      <w:r w:rsidR="0049188E">
        <w:t>68,000 customers in their homes</w:t>
      </w:r>
      <w:r w:rsidR="00FB4534">
        <w:t xml:space="preserve">, places of employment and service </w:t>
      </w:r>
      <w:r w:rsidR="00133A8F">
        <w:t xml:space="preserve">locations </w:t>
      </w:r>
      <w:r w:rsidR="0049188E">
        <w:t xml:space="preserve">in the southern half </w:t>
      </w:r>
      <w:r w:rsidR="00EB5646">
        <w:t xml:space="preserve">of the district. </w:t>
      </w:r>
    </w:p>
    <w:p w14:paraId="22185004" w14:textId="77777777" w:rsidR="00647432" w:rsidRDefault="00133A8F" w:rsidP="00A71E44">
      <w:pPr>
        <w:jc w:val="both"/>
      </w:pPr>
      <w:r>
        <w:lastRenderedPageBreak/>
        <w:t xml:space="preserve">2.17 AWS welcomes the reference to blue infrastructure and notes </w:t>
      </w:r>
      <w:r w:rsidR="00887C24">
        <w:t xml:space="preserve">in 2.18 the balanced approached to </w:t>
      </w:r>
      <w:r w:rsidR="00974176">
        <w:t xml:space="preserve">setting out the sources of </w:t>
      </w:r>
      <w:r w:rsidR="00647432">
        <w:t>poor water quality.</w:t>
      </w:r>
    </w:p>
    <w:p w14:paraId="51BF2F95" w14:textId="218B3358" w:rsidR="007928B8" w:rsidRDefault="00B95744" w:rsidP="00A71E44">
      <w:pPr>
        <w:jc w:val="both"/>
      </w:pPr>
      <w:r>
        <w:t xml:space="preserve">2.19 AWS supports the Council and the Local Plan in seeking to address </w:t>
      </w:r>
      <w:r w:rsidR="002E73F5">
        <w:t xml:space="preserve">flooding </w:t>
      </w:r>
      <w:r w:rsidR="00FA60B3">
        <w:t>because of</w:t>
      </w:r>
      <w:r w:rsidR="002E73F5">
        <w:t xml:space="preserve"> climate change. </w:t>
      </w:r>
      <w:r w:rsidR="00E3407C">
        <w:t xml:space="preserve">We support the approach of increasing water efficiency and </w:t>
      </w:r>
      <w:r w:rsidR="00000240">
        <w:t xml:space="preserve">greywater reuse as a reduction through design </w:t>
      </w:r>
      <w:r w:rsidR="00B90023">
        <w:t>of</w:t>
      </w:r>
      <w:r w:rsidR="00000240">
        <w:t xml:space="preserve"> water use in new homes </w:t>
      </w:r>
      <w:r w:rsidR="00B90023">
        <w:t xml:space="preserve">also reduces the volume of wastewater then requiring transport including pumping and </w:t>
      </w:r>
      <w:r w:rsidR="004C5B7F">
        <w:t xml:space="preserve">treatment which also generates GHG. </w:t>
      </w:r>
    </w:p>
    <w:p w14:paraId="58C88F02" w14:textId="17A08817" w:rsidR="000F4AC8" w:rsidRDefault="000F4AC8" w:rsidP="00A71E44">
      <w:pPr>
        <w:jc w:val="both"/>
        <w:rPr>
          <w:b/>
          <w:bCs/>
        </w:rPr>
      </w:pPr>
      <w:r w:rsidRPr="004031EB">
        <w:rPr>
          <w:b/>
          <w:bCs/>
        </w:rPr>
        <w:t xml:space="preserve">3. </w:t>
      </w:r>
      <w:r w:rsidR="004031EB" w:rsidRPr="004031EB">
        <w:rPr>
          <w:b/>
          <w:bCs/>
        </w:rPr>
        <w:tab/>
        <w:t>Our Development Objectives</w:t>
      </w:r>
    </w:p>
    <w:p w14:paraId="43EB034A" w14:textId="52D41E19" w:rsidR="004031EB" w:rsidRDefault="004031EB" w:rsidP="00A71E44">
      <w:pPr>
        <w:jc w:val="both"/>
      </w:pPr>
      <w:r>
        <w:t xml:space="preserve">3.1 Subject to </w:t>
      </w:r>
      <w:r w:rsidR="00260A0F">
        <w:t>the prospective national development management policies and subsequent updates to the NPPF</w:t>
      </w:r>
      <w:r w:rsidR="00B03AD5">
        <w:t xml:space="preserve"> and PPG, AWS would welcome a minor modification to </w:t>
      </w:r>
      <w:r w:rsidR="00371B00">
        <w:t xml:space="preserve">include blue infrastructure in part 3 of the table and </w:t>
      </w:r>
      <w:r w:rsidR="00B54EDB">
        <w:t xml:space="preserve">water &amp; water recycling in part 5 of the table. </w:t>
      </w:r>
    </w:p>
    <w:p w14:paraId="6D68FF6D" w14:textId="0418A342" w:rsidR="00D44B06" w:rsidRDefault="00D44B06" w:rsidP="00A71E44">
      <w:pPr>
        <w:jc w:val="both"/>
      </w:pPr>
      <w:r>
        <w:t xml:space="preserve">3.4 </w:t>
      </w:r>
      <w:r w:rsidR="0019323D">
        <w:t xml:space="preserve">to 3.8 </w:t>
      </w:r>
      <w:r>
        <w:t xml:space="preserve">Noting the possible re-organisation of </w:t>
      </w:r>
      <w:r w:rsidR="000735FE">
        <w:t>local government and the production of s</w:t>
      </w:r>
      <w:r w:rsidR="00D124BE">
        <w:t>patial develo</w:t>
      </w:r>
      <w:r w:rsidR="00B61F57">
        <w:t xml:space="preserve">pment strategies, the </w:t>
      </w:r>
      <w:r w:rsidR="00E575AE">
        <w:t xml:space="preserve">previous joint growth plan and the spatial approach in the draft Plan demonstrate that </w:t>
      </w:r>
      <w:r w:rsidR="0019323D">
        <w:t xml:space="preserve">the </w:t>
      </w:r>
      <w:r w:rsidR="00E575AE">
        <w:t xml:space="preserve">duty to cooperate has worked effectively to inform the </w:t>
      </w:r>
      <w:r w:rsidR="0019323D">
        <w:t xml:space="preserve">Plan’s selected growth and policy options. </w:t>
      </w:r>
      <w:r w:rsidR="00B61F57">
        <w:t xml:space="preserve"> </w:t>
      </w:r>
    </w:p>
    <w:p w14:paraId="5363132E" w14:textId="58BDAE8F" w:rsidR="001D450A" w:rsidRDefault="001D450A" w:rsidP="00A71E44">
      <w:pPr>
        <w:jc w:val="both"/>
      </w:pPr>
      <w:r>
        <w:t xml:space="preserve">3.9 AWS would welcome the provision of a draft Statement of Common Ground to inform the Local Plan Examination and specifically the coverage of </w:t>
      </w:r>
      <w:r w:rsidR="0008511F">
        <w:t xml:space="preserve">water recycling capacity matters through joint positions agreed with the EA. </w:t>
      </w:r>
    </w:p>
    <w:p w14:paraId="7326C84B" w14:textId="6CFC0CCF" w:rsidR="009847E3" w:rsidRDefault="000F341F" w:rsidP="00A71E44">
      <w:pPr>
        <w:jc w:val="both"/>
        <w:rPr>
          <w:b/>
          <w:bCs/>
        </w:rPr>
      </w:pPr>
      <w:r w:rsidRPr="009847E3">
        <w:rPr>
          <w:b/>
          <w:bCs/>
        </w:rPr>
        <w:t>4.</w:t>
      </w:r>
      <w:r w:rsidRPr="009847E3">
        <w:rPr>
          <w:b/>
          <w:bCs/>
        </w:rPr>
        <w:tab/>
        <w:t>Overall De</w:t>
      </w:r>
      <w:r w:rsidR="009847E3" w:rsidRPr="009847E3">
        <w:rPr>
          <w:b/>
          <w:bCs/>
        </w:rPr>
        <w:t>velopment Strategy</w:t>
      </w:r>
    </w:p>
    <w:p w14:paraId="1BA97221" w14:textId="3B0202C2" w:rsidR="00305C8C" w:rsidRDefault="0078136E" w:rsidP="00A71E44">
      <w:pPr>
        <w:jc w:val="both"/>
      </w:pPr>
      <w:r w:rsidRPr="0078136E">
        <w:t>4.1</w:t>
      </w:r>
      <w:r>
        <w:t xml:space="preserve"> </w:t>
      </w:r>
      <w:r w:rsidR="00A24DAF">
        <w:t>With reference to the adequate</w:t>
      </w:r>
      <w:r w:rsidR="00015CED">
        <w:t xml:space="preserve"> provision of ‘necessary infrastructure’ </w:t>
      </w:r>
      <w:r>
        <w:t xml:space="preserve">AWS has previously advised that </w:t>
      </w:r>
      <w:r w:rsidR="00A24DAF">
        <w:t xml:space="preserve">with the exception of trade effluent from </w:t>
      </w:r>
      <w:r w:rsidR="00015CED">
        <w:t xml:space="preserve">new or expanded businesses, the funding for new water </w:t>
      </w:r>
      <w:r w:rsidR="001A1CC3">
        <w:t xml:space="preserve">and water recycling network and treatment capacity comes from our </w:t>
      </w:r>
      <w:r w:rsidR="009F6ACC">
        <w:t>5-year</w:t>
      </w:r>
      <w:r w:rsidR="001A1CC3">
        <w:t xml:space="preserve"> </w:t>
      </w:r>
      <w:r w:rsidR="00A24DAF">
        <w:t xml:space="preserve">business </w:t>
      </w:r>
      <w:r w:rsidR="001A1CC3">
        <w:t xml:space="preserve">plans </w:t>
      </w:r>
      <w:r w:rsidR="00430FD6">
        <w:t xml:space="preserve">agreed with EA and Ofwat. </w:t>
      </w:r>
      <w:r w:rsidR="00C15048">
        <w:t>Developer contributions are not therefore</w:t>
      </w:r>
      <w:r w:rsidR="009F6ACC">
        <w:t xml:space="preserve"> a source of funding for delivery</w:t>
      </w:r>
      <w:r w:rsidR="00EF559C">
        <w:t xml:space="preserve">. </w:t>
      </w:r>
      <w:r w:rsidR="000D7B25">
        <w:t>Separate to de</w:t>
      </w:r>
      <w:r w:rsidR="00305C8C">
        <w:t xml:space="preserve">veloper charging through section 106, </w:t>
      </w:r>
      <w:r w:rsidR="00EF559C">
        <w:t xml:space="preserve">AWS has a </w:t>
      </w:r>
      <w:r w:rsidR="00FE1C70">
        <w:t xml:space="preserve">general strategic charge for network capacity which covers </w:t>
      </w:r>
      <w:r w:rsidR="00C720AF">
        <w:t xml:space="preserve">a small proportion of </w:t>
      </w:r>
      <w:r w:rsidR="00FE1C70">
        <w:t xml:space="preserve">some </w:t>
      </w:r>
      <w:r w:rsidR="00EF559C">
        <w:t xml:space="preserve">of the </w:t>
      </w:r>
      <w:r w:rsidR="00ED085E">
        <w:t>long-term</w:t>
      </w:r>
      <w:r w:rsidR="00C720AF">
        <w:t xml:space="preserve"> strategic investment needed in </w:t>
      </w:r>
      <w:r w:rsidR="000D7B25">
        <w:t>wastewater network capacity.</w:t>
      </w:r>
    </w:p>
    <w:p w14:paraId="76BE08B9" w14:textId="76A48C7E" w:rsidR="008D65F9" w:rsidRDefault="008D65F9" w:rsidP="00A71E44">
      <w:pPr>
        <w:jc w:val="both"/>
      </w:pPr>
      <w:r w:rsidRPr="00CF6433">
        <w:rPr>
          <w:b/>
          <w:bCs/>
        </w:rPr>
        <w:t>Policy DS01</w:t>
      </w:r>
      <w:r>
        <w:t xml:space="preserve">. AWS supports the </w:t>
      </w:r>
      <w:r w:rsidR="00F22D39">
        <w:t xml:space="preserve">housing requirement </w:t>
      </w:r>
      <w:r w:rsidR="007031D6">
        <w:t xml:space="preserve">figures, </w:t>
      </w:r>
      <w:r w:rsidR="00FA60B3">
        <w:t>considering</w:t>
      </w:r>
      <w:r w:rsidR="007031D6">
        <w:t xml:space="preserve"> past growth rates and the </w:t>
      </w:r>
      <w:r>
        <w:t xml:space="preserve">spatial </w:t>
      </w:r>
      <w:r w:rsidR="00F22D39">
        <w:t>dist</w:t>
      </w:r>
      <w:r w:rsidR="007031D6">
        <w:t xml:space="preserve">ribution of growth. </w:t>
      </w:r>
      <w:r w:rsidR="001B7BDE">
        <w:t xml:space="preserve">As set out above some of the </w:t>
      </w:r>
      <w:r w:rsidR="001969F9">
        <w:t>allocations may not be immediately capable of connecting to the sewerage network without increasing the risk of poll</w:t>
      </w:r>
      <w:r w:rsidR="00A7515E">
        <w:t>ution and so would either need to be managed through pre-occupation conditions or phased for dates after 2</w:t>
      </w:r>
      <w:r w:rsidR="00791BAC">
        <w:t xml:space="preserve">030, so that the investment can be secured in AWS future business plans. </w:t>
      </w:r>
      <w:r w:rsidR="00A7515E">
        <w:t xml:space="preserve"> </w:t>
      </w:r>
    </w:p>
    <w:p w14:paraId="1B439911" w14:textId="48226CE9" w:rsidR="009847E3" w:rsidRPr="0078136E" w:rsidRDefault="00863F31" w:rsidP="00A71E44">
      <w:pPr>
        <w:jc w:val="both"/>
      </w:pPr>
      <w:r>
        <w:t xml:space="preserve">4.8 </w:t>
      </w:r>
      <w:r w:rsidR="000E131D">
        <w:t>With re</w:t>
      </w:r>
      <w:r w:rsidR="005F7393">
        <w:t xml:space="preserve">gard </w:t>
      </w:r>
      <w:r w:rsidR="000E131D">
        <w:t xml:space="preserve">to Neighbourhood Plans </w:t>
      </w:r>
      <w:r w:rsidR="00FA60B3">
        <w:t>and</w:t>
      </w:r>
      <w:r w:rsidR="000E131D">
        <w:t xml:space="preserve"> Windfall sites, AWS </w:t>
      </w:r>
      <w:r w:rsidR="005F7393">
        <w:t>would not support</w:t>
      </w:r>
      <w:r w:rsidR="008A4B88">
        <w:t xml:space="preserve"> the </w:t>
      </w:r>
      <w:r w:rsidR="008D219B">
        <w:t xml:space="preserve">growth of Other Villages/ Hamlets served by </w:t>
      </w:r>
      <w:r w:rsidR="00147A4E">
        <w:t>WRC with Descriptive Permits. These locations would only serve a relatively low number of homes and could disprop</w:t>
      </w:r>
      <w:r w:rsidR="00F106D7">
        <w:t xml:space="preserve">ortionately increase the risk of pollution in the receiving watercourse. </w:t>
      </w:r>
      <w:r w:rsidR="00FC5E8C" w:rsidRPr="00FC5E8C">
        <w:t>Growth would also potentially require investment which in the next AMP (20</w:t>
      </w:r>
      <w:r w:rsidR="00FC5E8C">
        <w:t>30</w:t>
      </w:r>
      <w:r w:rsidR="00FC5E8C" w:rsidRPr="00FC5E8C">
        <w:t>-3</w:t>
      </w:r>
      <w:r w:rsidR="00FC5E8C">
        <w:t>5</w:t>
      </w:r>
      <w:r w:rsidR="00FC5E8C" w:rsidRPr="00FC5E8C">
        <w:t xml:space="preserve">) </w:t>
      </w:r>
      <w:r w:rsidR="00916104">
        <w:t xml:space="preserve">and </w:t>
      </w:r>
      <w:r w:rsidR="00FC5E8C" w:rsidRPr="00FC5E8C">
        <w:t>Ofwat has focussed on improvements and capacity at larger WRCs. AWS supports this position as there are significant carbon economies of scale if growth is at scale of a Sustainable Urban Extension serving more people than could be accommodated in small village expansion.</w:t>
      </w:r>
      <w:r w:rsidR="00916104">
        <w:t xml:space="preserve"> </w:t>
      </w:r>
      <w:r w:rsidR="00C97919">
        <w:t xml:space="preserve">Development may be possible </w:t>
      </w:r>
      <w:r w:rsidR="00916104">
        <w:t xml:space="preserve">if </w:t>
      </w:r>
      <w:r w:rsidR="002F4C3F">
        <w:t xml:space="preserve">a developer funded flow and environmental monitoring work in pre application </w:t>
      </w:r>
      <w:r w:rsidR="00AE2C64">
        <w:t xml:space="preserve">and then agreed an approach with the EA and AWS prior to submitting a planning application. </w:t>
      </w:r>
      <w:r w:rsidR="00F106D7">
        <w:t xml:space="preserve"> </w:t>
      </w:r>
      <w:r w:rsidR="005F7393">
        <w:t xml:space="preserve"> </w:t>
      </w:r>
      <w:r w:rsidR="00C15048">
        <w:t xml:space="preserve"> </w:t>
      </w:r>
    </w:p>
    <w:p w14:paraId="0613F36A" w14:textId="3511F2AD" w:rsidR="00B314CA" w:rsidRDefault="00E70E61" w:rsidP="00B314CA">
      <w:pPr>
        <w:jc w:val="both"/>
      </w:pPr>
      <w:r>
        <w:t xml:space="preserve">Table </w:t>
      </w:r>
      <w:r w:rsidR="00B314CA">
        <w:t xml:space="preserve">1 and </w:t>
      </w:r>
      <w:r>
        <w:t xml:space="preserve">2. </w:t>
      </w:r>
      <w:r w:rsidR="00B314CA">
        <w:t xml:space="preserve">AWS agrees that a hierarchy of settlements </w:t>
      </w:r>
      <w:r w:rsidR="00B314CA">
        <w:t>(Table 1)</w:t>
      </w:r>
      <w:r w:rsidR="00B314CA">
        <w:t xml:space="preserve"> enables the Plan to focus development on the more sustainable locations. Increasingly development will towards the end </w:t>
      </w:r>
      <w:r w:rsidR="00B314CA">
        <w:lastRenderedPageBreak/>
        <w:t xml:space="preserve">of the Plan period need to deliver net zero (embodied and operational) carbon from day 1 to build in net carbon negative solutions from 2050 onwards. AWS considers that quantum of growth (at </w:t>
      </w:r>
      <w:r w:rsidR="00376F91">
        <w:t xml:space="preserve">657 </w:t>
      </w:r>
      <w:r w:rsidR="00B314CA">
        <w:t>per annum</w:t>
      </w:r>
      <w:r w:rsidR="0020545A">
        <w:t xml:space="preserve"> to </w:t>
      </w:r>
      <w:r w:rsidR="006A431B">
        <w:t>2036) is</w:t>
      </w:r>
      <w:r w:rsidR="00B314CA">
        <w:t xml:space="preserve"> deliverable </w:t>
      </w:r>
      <w:r w:rsidR="00FA60B3">
        <w:t>if</w:t>
      </w:r>
      <w:r w:rsidR="00B314CA">
        <w:t xml:space="preserve"> growth is located in settlements whose catchments have headroom capacity or where investment is planned by AWS to 2030</w:t>
      </w:r>
      <w:r w:rsidR="00AF0458">
        <w:t xml:space="preserve"> and can then be proposed in AMP8 and </w:t>
      </w:r>
      <w:r w:rsidR="00395A88">
        <w:t>9 (2020- 2040)</w:t>
      </w:r>
      <w:r w:rsidR="00B314CA">
        <w:t xml:space="preserve">.  AWS supports the allocation of employment land, although until those sites come forward for planning and their water demands and wastewater volumes are known it is not possible to assess the deliverability of employment allocations. </w:t>
      </w:r>
    </w:p>
    <w:p w14:paraId="5F63F9B0" w14:textId="29F3A2A8" w:rsidR="00FF601A" w:rsidRDefault="00B314CA" w:rsidP="00A71E44">
      <w:pPr>
        <w:jc w:val="both"/>
      </w:pPr>
      <w:r>
        <w:t>4.</w:t>
      </w:r>
      <w:r w:rsidR="0027464F">
        <w:t xml:space="preserve">11 and Table 2. </w:t>
      </w:r>
      <w:r>
        <w:t xml:space="preserve">AWS has assessed the wastewater recycling centre (WRC) permitted dry weather flow (DWF) capacity and assigned a RAG value in the table below to those locations based upon the allocations and average build out rates. This now includes consideration of existing planning applications and potential construction build outs for those sites.  </w:t>
      </w:r>
      <w:r w:rsidR="00D51025">
        <w:t>The</w:t>
      </w:r>
      <w:r w:rsidR="001F6C90">
        <w:t xml:space="preserve"> RAG table for the </w:t>
      </w:r>
      <w:r w:rsidR="00911011">
        <w:t xml:space="preserve">WRC/ settlements based on the </w:t>
      </w:r>
      <w:r w:rsidR="008B1C2C">
        <w:t>five-year</w:t>
      </w:r>
      <w:r w:rsidR="00FF601A">
        <w:t xml:space="preserve"> average (mean) flows</w:t>
      </w:r>
      <w:r w:rsidR="00911011">
        <w:t xml:space="preserve"> </w:t>
      </w:r>
      <w:r w:rsidR="00FF601A">
        <w:t xml:space="preserve">at Q80. </w:t>
      </w:r>
      <w:r w:rsidR="00D51025">
        <w:t>For complet</w:t>
      </w:r>
      <w:r w:rsidR="004318AF">
        <w:t xml:space="preserve">eness the final column records the Q90 DWF position for 2024 and </w:t>
      </w:r>
      <w:r w:rsidR="00FB325F">
        <w:t xml:space="preserve">sets out the AWS position Developer Service colleagues would </w:t>
      </w:r>
      <w:r w:rsidR="00F3038E">
        <w:t>provide in pre-application developer and LPA consultation responses</w:t>
      </w:r>
      <w:r w:rsidR="00C93F36">
        <w:t xml:space="preserve"> (April 2025 to April 2026)</w:t>
      </w:r>
    </w:p>
    <w:tbl>
      <w:tblPr>
        <w:tblStyle w:val="TableGrid"/>
        <w:tblW w:w="0" w:type="auto"/>
        <w:tblInd w:w="-5" w:type="dxa"/>
        <w:tblLayout w:type="fixed"/>
        <w:tblLook w:val="04A0" w:firstRow="1" w:lastRow="0" w:firstColumn="1" w:lastColumn="0" w:noHBand="0" w:noVBand="1"/>
      </w:tblPr>
      <w:tblGrid>
        <w:gridCol w:w="1418"/>
        <w:gridCol w:w="1701"/>
        <w:gridCol w:w="1417"/>
        <w:gridCol w:w="1560"/>
        <w:gridCol w:w="1587"/>
        <w:gridCol w:w="1338"/>
      </w:tblGrid>
      <w:tr w:rsidR="00F3038E" w:rsidRPr="00A71E44" w14:paraId="43625233" w14:textId="7D1F2A14" w:rsidTr="004E4FBF">
        <w:tc>
          <w:tcPr>
            <w:tcW w:w="1418" w:type="dxa"/>
          </w:tcPr>
          <w:p w14:paraId="38912364" w14:textId="77777777" w:rsidR="00F3038E" w:rsidRPr="0050395B" w:rsidRDefault="00F3038E" w:rsidP="003C44A6">
            <w:pPr>
              <w:spacing w:after="160" w:line="259" w:lineRule="auto"/>
              <w:jc w:val="both"/>
              <w:rPr>
                <w:b/>
                <w:bCs/>
              </w:rPr>
            </w:pPr>
            <w:r w:rsidRPr="0050395B">
              <w:rPr>
                <w:b/>
                <w:bCs/>
              </w:rPr>
              <w:t xml:space="preserve">WRC Catchment </w:t>
            </w:r>
          </w:p>
        </w:tc>
        <w:tc>
          <w:tcPr>
            <w:tcW w:w="1701" w:type="dxa"/>
          </w:tcPr>
          <w:p w14:paraId="330797CF" w14:textId="54D912D8" w:rsidR="00F3038E" w:rsidRPr="0050395B" w:rsidRDefault="00F3038E" w:rsidP="003C44A6">
            <w:pPr>
              <w:spacing w:after="160" w:line="259" w:lineRule="auto"/>
              <w:jc w:val="both"/>
              <w:rPr>
                <w:b/>
                <w:bCs/>
              </w:rPr>
            </w:pPr>
            <w:r w:rsidRPr="0050395B">
              <w:rPr>
                <w:b/>
                <w:bCs/>
              </w:rPr>
              <w:t>Minimum requirement (202</w:t>
            </w:r>
            <w:r w:rsidR="001C1928">
              <w:rPr>
                <w:b/>
                <w:bCs/>
              </w:rPr>
              <w:t>0</w:t>
            </w:r>
            <w:r w:rsidRPr="0050395B">
              <w:rPr>
                <w:b/>
                <w:bCs/>
              </w:rPr>
              <w:t>-41)</w:t>
            </w:r>
          </w:p>
        </w:tc>
        <w:tc>
          <w:tcPr>
            <w:tcW w:w="1417" w:type="dxa"/>
          </w:tcPr>
          <w:p w14:paraId="4557A9EE" w14:textId="77777777" w:rsidR="00F3038E" w:rsidRPr="0050395B" w:rsidRDefault="00F3038E" w:rsidP="003C44A6">
            <w:pPr>
              <w:spacing w:after="160" w:line="259" w:lineRule="auto"/>
              <w:jc w:val="both"/>
              <w:rPr>
                <w:b/>
                <w:bCs/>
              </w:rPr>
            </w:pPr>
            <w:r w:rsidRPr="0050395B">
              <w:rPr>
                <w:b/>
                <w:bCs/>
              </w:rPr>
              <w:t xml:space="preserve">Site Allocations (Policy H1) </w:t>
            </w:r>
          </w:p>
        </w:tc>
        <w:tc>
          <w:tcPr>
            <w:tcW w:w="1560" w:type="dxa"/>
          </w:tcPr>
          <w:p w14:paraId="4F1EDF1C" w14:textId="77777777" w:rsidR="00F3038E" w:rsidRPr="0050395B" w:rsidRDefault="00F3038E" w:rsidP="003C44A6">
            <w:pPr>
              <w:spacing w:after="160" w:line="259" w:lineRule="auto"/>
              <w:jc w:val="both"/>
              <w:rPr>
                <w:b/>
                <w:bCs/>
              </w:rPr>
            </w:pPr>
            <w:r w:rsidRPr="0050395B">
              <w:rPr>
                <w:b/>
                <w:bCs/>
              </w:rPr>
              <w:t>Comments</w:t>
            </w:r>
          </w:p>
        </w:tc>
        <w:tc>
          <w:tcPr>
            <w:tcW w:w="1587" w:type="dxa"/>
          </w:tcPr>
          <w:p w14:paraId="6E62123B" w14:textId="7721DA74" w:rsidR="00F3038E" w:rsidRPr="0050395B" w:rsidRDefault="007A789E" w:rsidP="003C44A6">
            <w:pPr>
              <w:spacing w:after="160" w:line="259" w:lineRule="auto"/>
              <w:jc w:val="both"/>
              <w:rPr>
                <w:b/>
                <w:bCs/>
              </w:rPr>
            </w:pPr>
            <w:r>
              <w:rPr>
                <w:b/>
                <w:bCs/>
              </w:rPr>
              <w:t xml:space="preserve">Q80 average </w:t>
            </w:r>
            <w:r w:rsidR="00F3038E" w:rsidRPr="0050395B">
              <w:rPr>
                <w:b/>
                <w:bCs/>
              </w:rPr>
              <w:t xml:space="preserve">RAG assessment and date this could change </w:t>
            </w:r>
          </w:p>
        </w:tc>
        <w:tc>
          <w:tcPr>
            <w:tcW w:w="1338" w:type="dxa"/>
          </w:tcPr>
          <w:p w14:paraId="53CF1092" w14:textId="77777777" w:rsidR="00F3038E" w:rsidRPr="0050395B" w:rsidRDefault="00C93F36" w:rsidP="003C44A6">
            <w:pPr>
              <w:jc w:val="both"/>
              <w:rPr>
                <w:b/>
                <w:bCs/>
              </w:rPr>
            </w:pPr>
            <w:r w:rsidRPr="0050395B">
              <w:rPr>
                <w:b/>
                <w:bCs/>
              </w:rPr>
              <w:t xml:space="preserve">Q90 RAG </w:t>
            </w:r>
          </w:p>
          <w:p w14:paraId="2F9E449E" w14:textId="26109B30" w:rsidR="00C93F36" w:rsidRPr="0050395B" w:rsidRDefault="00C93F36" w:rsidP="003C44A6">
            <w:pPr>
              <w:jc w:val="both"/>
              <w:rPr>
                <w:b/>
                <w:bCs/>
              </w:rPr>
            </w:pPr>
            <w:r w:rsidRPr="0050395B">
              <w:rPr>
                <w:b/>
                <w:bCs/>
              </w:rPr>
              <w:t>(</w:t>
            </w:r>
            <w:r w:rsidR="0050395B" w:rsidRPr="0050395B">
              <w:rPr>
                <w:b/>
                <w:bCs/>
              </w:rPr>
              <w:t>April 2025 to April 2026)</w:t>
            </w:r>
          </w:p>
        </w:tc>
      </w:tr>
      <w:tr w:rsidR="00F3038E" w:rsidRPr="00A71E44" w14:paraId="0B25A441" w14:textId="761DD559" w:rsidTr="004E4FBF">
        <w:tc>
          <w:tcPr>
            <w:tcW w:w="1418" w:type="dxa"/>
          </w:tcPr>
          <w:p w14:paraId="2DF8569B" w14:textId="77777777" w:rsidR="00F3038E" w:rsidRPr="00B27298" w:rsidRDefault="00F3038E" w:rsidP="003C44A6">
            <w:pPr>
              <w:spacing w:after="160" w:line="259" w:lineRule="auto"/>
              <w:jc w:val="both"/>
            </w:pPr>
          </w:p>
        </w:tc>
        <w:tc>
          <w:tcPr>
            <w:tcW w:w="1701" w:type="dxa"/>
          </w:tcPr>
          <w:p w14:paraId="2B1F3740" w14:textId="25651EAA" w:rsidR="00F3038E" w:rsidRPr="00B27298" w:rsidRDefault="00F3038E" w:rsidP="003C44A6">
            <w:pPr>
              <w:spacing w:after="160" w:line="259" w:lineRule="auto"/>
              <w:jc w:val="both"/>
            </w:pPr>
            <w:r w:rsidRPr="00B27298">
              <w:t>Local Plan.</w:t>
            </w:r>
            <w:r w:rsidR="009718EA" w:rsidRPr="00B27298">
              <w:t xml:space="preserve"> </w:t>
            </w:r>
            <w:r w:rsidR="006A431B" w:rsidRPr="00B27298">
              <w:t>657 homes</w:t>
            </w:r>
            <w:r w:rsidRPr="00B27298">
              <w:t xml:space="preserve"> per year</w:t>
            </w:r>
            <w:r w:rsidR="009718EA" w:rsidRPr="00B27298">
              <w:t>.</w:t>
            </w:r>
          </w:p>
        </w:tc>
        <w:tc>
          <w:tcPr>
            <w:tcW w:w="1417" w:type="dxa"/>
          </w:tcPr>
          <w:p w14:paraId="67975BE7" w14:textId="45EDCA51" w:rsidR="00F3038E" w:rsidRPr="00B27298" w:rsidRDefault="00F3038E" w:rsidP="003C44A6">
            <w:pPr>
              <w:spacing w:after="160" w:line="259" w:lineRule="auto"/>
              <w:jc w:val="both"/>
            </w:pPr>
            <w:r w:rsidRPr="00B27298">
              <w:t>Allocations after completions and existing comm</w:t>
            </w:r>
            <w:r w:rsidR="004E4FBF">
              <w:t>’</w:t>
            </w:r>
            <w:r w:rsidRPr="00B27298">
              <w:t>nt sites</w:t>
            </w:r>
          </w:p>
        </w:tc>
        <w:tc>
          <w:tcPr>
            <w:tcW w:w="1560" w:type="dxa"/>
          </w:tcPr>
          <w:p w14:paraId="34AD9BF6" w14:textId="77777777" w:rsidR="00F3038E" w:rsidRPr="00B27298" w:rsidRDefault="00F3038E" w:rsidP="003C44A6">
            <w:pPr>
              <w:spacing w:after="160" w:line="259" w:lineRule="auto"/>
              <w:jc w:val="both"/>
            </w:pPr>
          </w:p>
        </w:tc>
        <w:tc>
          <w:tcPr>
            <w:tcW w:w="1587" w:type="dxa"/>
          </w:tcPr>
          <w:p w14:paraId="03450D8E" w14:textId="77777777" w:rsidR="00F3038E" w:rsidRPr="00B27298" w:rsidRDefault="00F3038E" w:rsidP="003C44A6">
            <w:pPr>
              <w:spacing w:after="160" w:line="259" w:lineRule="auto"/>
              <w:jc w:val="both"/>
            </w:pPr>
          </w:p>
        </w:tc>
        <w:tc>
          <w:tcPr>
            <w:tcW w:w="1338" w:type="dxa"/>
          </w:tcPr>
          <w:p w14:paraId="718EAF5D" w14:textId="77777777" w:rsidR="00F3038E" w:rsidRPr="00B27298" w:rsidRDefault="00F3038E" w:rsidP="003C44A6">
            <w:pPr>
              <w:jc w:val="both"/>
            </w:pPr>
          </w:p>
        </w:tc>
      </w:tr>
      <w:tr w:rsidR="004E4FBF" w:rsidRPr="00A71E44" w14:paraId="3397EA3E" w14:textId="345666D4" w:rsidTr="004E4FBF">
        <w:tc>
          <w:tcPr>
            <w:tcW w:w="1418" w:type="dxa"/>
          </w:tcPr>
          <w:p w14:paraId="5FD8AA5F" w14:textId="28855372" w:rsidR="00F3038E" w:rsidRPr="00B27298" w:rsidRDefault="00F3038E" w:rsidP="003C44A6">
            <w:pPr>
              <w:jc w:val="both"/>
            </w:pPr>
            <w:r w:rsidRPr="00B27298">
              <w:t xml:space="preserve">Market </w:t>
            </w:r>
            <w:r w:rsidR="008B1C2C" w:rsidRPr="00B27298">
              <w:t>Harborough</w:t>
            </w:r>
            <w:r w:rsidR="006C2B95" w:rsidRPr="00B27298">
              <w:t>. Also serving Great Bowden and Lubenham,</w:t>
            </w:r>
          </w:p>
        </w:tc>
        <w:tc>
          <w:tcPr>
            <w:tcW w:w="1701" w:type="dxa"/>
          </w:tcPr>
          <w:p w14:paraId="5E71E0CE" w14:textId="77777777" w:rsidR="004E4FBF" w:rsidRDefault="007F00E2" w:rsidP="003C44A6">
            <w:pPr>
              <w:jc w:val="both"/>
            </w:pPr>
            <w:r w:rsidRPr="00B27298">
              <w:t>4317+</w:t>
            </w:r>
            <w:r w:rsidR="00303DB2" w:rsidRPr="00B27298">
              <w:t>165+</w:t>
            </w:r>
          </w:p>
          <w:p w14:paraId="160CE8FD" w14:textId="4E383C65" w:rsidR="00F3038E" w:rsidRPr="00B27298" w:rsidRDefault="00303DB2" w:rsidP="003C44A6">
            <w:pPr>
              <w:jc w:val="both"/>
            </w:pPr>
            <w:r w:rsidRPr="00B27298">
              <w:t>64</w:t>
            </w:r>
          </w:p>
        </w:tc>
        <w:tc>
          <w:tcPr>
            <w:tcW w:w="1417" w:type="dxa"/>
          </w:tcPr>
          <w:p w14:paraId="0F586C1D" w14:textId="77777777" w:rsidR="004E4FBF" w:rsidRDefault="00303DB2" w:rsidP="003C44A6">
            <w:pPr>
              <w:jc w:val="both"/>
            </w:pPr>
            <w:r w:rsidRPr="00B27298">
              <w:t>1350+</w:t>
            </w:r>
            <w:r w:rsidR="00002E8F" w:rsidRPr="00B27298">
              <w:t>100+</w:t>
            </w:r>
          </w:p>
          <w:p w14:paraId="0852E9A9" w14:textId="25B44218" w:rsidR="00F3038E" w:rsidRPr="00B27298" w:rsidRDefault="00002E8F" w:rsidP="003C44A6">
            <w:pPr>
              <w:jc w:val="both"/>
            </w:pPr>
            <w:r w:rsidRPr="00B27298">
              <w:t>28</w:t>
            </w:r>
          </w:p>
        </w:tc>
        <w:tc>
          <w:tcPr>
            <w:tcW w:w="1560" w:type="dxa"/>
          </w:tcPr>
          <w:p w14:paraId="6FDAB143" w14:textId="1514799C" w:rsidR="00F3038E" w:rsidRPr="00B27298" w:rsidRDefault="009374E3" w:rsidP="003C44A6">
            <w:pPr>
              <w:jc w:val="both"/>
            </w:pPr>
            <w:r w:rsidRPr="00B27298">
              <w:t>WRC investment in final DWMP</w:t>
            </w:r>
            <w:r w:rsidR="00EE332A">
              <w:t xml:space="preserve">. </w:t>
            </w:r>
            <w:r w:rsidR="003530F9">
              <w:t xml:space="preserve"> </w:t>
            </w:r>
            <w:r w:rsidR="00EE332A">
              <w:t>A</w:t>
            </w:r>
            <w:r w:rsidR="003530F9">
              <w:t>dditional capacity by 2030</w:t>
            </w:r>
            <w:r w:rsidR="00A67707">
              <w:t xml:space="preserve">. </w:t>
            </w:r>
            <w:r w:rsidR="00A67707">
              <w:t>Total WRC growth over 2000 homes so has carbon</w:t>
            </w:r>
            <w:r w:rsidR="00A67707">
              <w:t xml:space="preserve"> &amp; investment economies of scale. </w:t>
            </w:r>
          </w:p>
        </w:tc>
        <w:tc>
          <w:tcPr>
            <w:tcW w:w="1587" w:type="dxa"/>
            <w:shd w:val="clear" w:color="auto" w:fill="FFC000"/>
          </w:tcPr>
          <w:p w14:paraId="33CF5260" w14:textId="5FA102FF" w:rsidR="00F3038E" w:rsidRPr="00B27298" w:rsidRDefault="00B27298" w:rsidP="003C44A6">
            <w:pPr>
              <w:jc w:val="both"/>
            </w:pPr>
            <w:r w:rsidRPr="00B27298">
              <w:t>Amber</w:t>
            </w:r>
            <w:r>
              <w:t xml:space="preserve"> (2030</w:t>
            </w:r>
            <w:r w:rsidR="00E3594B">
              <w:t xml:space="preserve">) Change to Green dependent on </w:t>
            </w:r>
            <w:r w:rsidR="005678D2">
              <w:t>designed</w:t>
            </w:r>
            <w:r w:rsidR="00F01FE5">
              <w:t xml:space="preserve"> &amp; built</w:t>
            </w:r>
            <w:r w:rsidR="005678D2">
              <w:t xml:space="preserve"> capacity</w:t>
            </w:r>
            <w:r w:rsidR="00F01FE5">
              <w:t xml:space="preserve"> in AMP8</w:t>
            </w:r>
            <w:r w:rsidR="009B3FA1">
              <w:t xml:space="preserve">. </w:t>
            </w:r>
          </w:p>
        </w:tc>
        <w:tc>
          <w:tcPr>
            <w:tcW w:w="1338" w:type="dxa"/>
            <w:shd w:val="clear" w:color="auto" w:fill="FFC000"/>
          </w:tcPr>
          <w:p w14:paraId="7A2CA020" w14:textId="77777777" w:rsidR="00F3038E" w:rsidRDefault="008A4995" w:rsidP="003C44A6">
            <w:pPr>
              <w:jc w:val="both"/>
            </w:pPr>
            <w:r>
              <w:t xml:space="preserve">Amber </w:t>
            </w:r>
          </w:p>
          <w:p w14:paraId="71B39B9E" w14:textId="7DA622E9" w:rsidR="008A4995" w:rsidRPr="00B27298" w:rsidRDefault="008A4995" w:rsidP="003C44A6">
            <w:pPr>
              <w:jc w:val="both"/>
            </w:pPr>
            <w:r>
              <w:t>(Pre</w:t>
            </w:r>
            <w:r w:rsidR="00F01FE5">
              <w:t>-</w:t>
            </w:r>
            <w:r>
              <w:t xml:space="preserve"> </w:t>
            </w:r>
            <w:r w:rsidR="00ED085E">
              <w:t>Occupation Condition</w:t>
            </w:r>
            <w:r>
              <w:t>)</w:t>
            </w:r>
          </w:p>
        </w:tc>
      </w:tr>
      <w:tr w:rsidR="00EE332A" w:rsidRPr="00A71E44" w14:paraId="39BCC1D6" w14:textId="77777777" w:rsidTr="00DF3A24">
        <w:tc>
          <w:tcPr>
            <w:tcW w:w="1418" w:type="dxa"/>
          </w:tcPr>
          <w:p w14:paraId="2A85A648" w14:textId="159F9794" w:rsidR="00EE332A" w:rsidRPr="00B27298" w:rsidRDefault="00E3594B" w:rsidP="003C44A6">
            <w:pPr>
              <w:jc w:val="both"/>
            </w:pPr>
            <w:r>
              <w:t>Kibworth</w:t>
            </w:r>
          </w:p>
        </w:tc>
        <w:tc>
          <w:tcPr>
            <w:tcW w:w="1701" w:type="dxa"/>
          </w:tcPr>
          <w:p w14:paraId="6448F3A4" w14:textId="575C828E" w:rsidR="00EE332A" w:rsidRPr="00B27298" w:rsidRDefault="00B73794" w:rsidP="003C44A6">
            <w:pPr>
              <w:jc w:val="both"/>
            </w:pPr>
            <w:r>
              <w:t>730</w:t>
            </w:r>
          </w:p>
        </w:tc>
        <w:tc>
          <w:tcPr>
            <w:tcW w:w="1417" w:type="dxa"/>
          </w:tcPr>
          <w:p w14:paraId="5DB7D276" w14:textId="349817AD" w:rsidR="00EE332A" w:rsidRPr="00B27298" w:rsidRDefault="00B73794" w:rsidP="003C44A6">
            <w:pPr>
              <w:jc w:val="both"/>
            </w:pPr>
            <w:r>
              <w:t>475</w:t>
            </w:r>
          </w:p>
        </w:tc>
        <w:tc>
          <w:tcPr>
            <w:tcW w:w="1560" w:type="dxa"/>
          </w:tcPr>
          <w:p w14:paraId="7011EAAE" w14:textId="7EABCC58" w:rsidR="00EE332A" w:rsidRPr="00B27298" w:rsidRDefault="001D54B1" w:rsidP="003C44A6">
            <w:pPr>
              <w:jc w:val="both"/>
            </w:pPr>
            <w:r>
              <w:t>WRC has capacity for all commitments &amp; allocations.</w:t>
            </w:r>
          </w:p>
        </w:tc>
        <w:tc>
          <w:tcPr>
            <w:tcW w:w="1587" w:type="dxa"/>
            <w:shd w:val="clear" w:color="auto" w:fill="3A7C22" w:themeFill="accent6" w:themeFillShade="BF"/>
          </w:tcPr>
          <w:p w14:paraId="0959D0B6" w14:textId="77777777" w:rsidR="00AD2CC3" w:rsidRDefault="00EE5871" w:rsidP="003C44A6">
            <w:pPr>
              <w:jc w:val="both"/>
            </w:pPr>
            <w:r>
              <w:t>Green</w:t>
            </w:r>
          </w:p>
          <w:p w14:paraId="7A65120A" w14:textId="66706056" w:rsidR="00EE332A" w:rsidRPr="00B27298" w:rsidRDefault="00AD2CC3" w:rsidP="003C44A6">
            <w:pPr>
              <w:jc w:val="both"/>
            </w:pPr>
            <w:r>
              <w:t>(</w:t>
            </w:r>
            <w:r w:rsidR="0080693F">
              <w:t>203</w:t>
            </w:r>
            <w:r w:rsidR="001F6783">
              <w:t>5</w:t>
            </w:r>
            <w:r w:rsidR="0080693F">
              <w:t xml:space="preserve">). New Plan with </w:t>
            </w:r>
            <w:r w:rsidR="00E34D21">
              <w:t xml:space="preserve">723 homes per year directs majority of allocations to Kibworth to </w:t>
            </w:r>
            <w:r w:rsidR="00E34D21">
              <w:lastRenderedPageBreak/>
              <w:t>utilise WRC headroom</w:t>
            </w:r>
            <w:r w:rsidR="00EE5871">
              <w:t xml:space="preserve"> </w:t>
            </w:r>
          </w:p>
        </w:tc>
        <w:tc>
          <w:tcPr>
            <w:tcW w:w="1338" w:type="dxa"/>
            <w:shd w:val="clear" w:color="auto" w:fill="3A7C22" w:themeFill="accent6" w:themeFillShade="BF"/>
          </w:tcPr>
          <w:p w14:paraId="536D88C4" w14:textId="77777777" w:rsidR="00EE332A" w:rsidRDefault="00AD2CC3" w:rsidP="003C44A6">
            <w:pPr>
              <w:jc w:val="both"/>
            </w:pPr>
            <w:r>
              <w:lastRenderedPageBreak/>
              <w:t xml:space="preserve">Green </w:t>
            </w:r>
          </w:p>
          <w:p w14:paraId="1271FB27" w14:textId="5E1861AF" w:rsidR="00AD2CC3" w:rsidRDefault="00AD2CC3" w:rsidP="003C44A6">
            <w:pPr>
              <w:jc w:val="both"/>
            </w:pPr>
            <w:r>
              <w:t>(Approve)</w:t>
            </w:r>
          </w:p>
        </w:tc>
      </w:tr>
      <w:tr w:rsidR="00E3594B" w:rsidRPr="00A71E44" w14:paraId="4A2CE944" w14:textId="77777777" w:rsidTr="005701BA">
        <w:tc>
          <w:tcPr>
            <w:tcW w:w="1418" w:type="dxa"/>
          </w:tcPr>
          <w:p w14:paraId="53E557FD" w14:textId="4F159EF3" w:rsidR="00E3594B" w:rsidRPr="00B27298" w:rsidRDefault="001B0092" w:rsidP="003C44A6">
            <w:pPr>
              <w:jc w:val="both"/>
            </w:pPr>
            <w:r>
              <w:t>Hus</w:t>
            </w:r>
            <w:r w:rsidR="006E3BBA">
              <w:t>bands Bosworth</w:t>
            </w:r>
          </w:p>
        </w:tc>
        <w:tc>
          <w:tcPr>
            <w:tcW w:w="1701" w:type="dxa"/>
          </w:tcPr>
          <w:p w14:paraId="206D6F29" w14:textId="41D5C6CC" w:rsidR="00E3594B" w:rsidRPr="00B27298" w:rsidRDefault="006E3BBA" w:rsidP="003C44A6">
            <w:pPr>
              <w:jc w:val="both"/>
            </w:pPr>
            <w:r>
              <w:t>166</w:t>
            </w:r>
          </w:p>
        </w:tc>
        <w:tc>
          <w:tcPr>
            <w:tcW w:w="1417" w:type="dxa"/>
          </w:tcPr>
          <w:p w14:paraId="214E411A" w14:textId="7EC2927E" w:rsidR="00E3594B" w:rsidRPr="00B27298" w:rsidRDefault="006E3BBA" w:rsidP="003C44A6">
            <w:pPr>
              <w:jc w:val="both"/>
            </w:pPr>
            <w:r>
              <w:t>105</w:t>
            </w:r>
          </w:p>
        </w:tc>
        <w:tc>
          <w:tcPr>
            <w:tcW w:w="1560" w:type="dxa"/>
          </w:tcPr>
          <w:p w14:paraId="522447AE" w14:textId="06112266" w:rsidR="00E3594B" w:rsidRPr="00B27298" w:rsidRDefault="002B3905" w:rsidP="003C44A6">
            <w:pPr>
              <w:jc w:val="both"/>
            </w:pPr>
            <w:r>
              <w:t xml:space="preserve">Q80 average and Q90 2024 DWF </w:t>
            </w:r>
            <w:r w:rsidR="005701BA">
              <w:t xml:space="preserve">show no WRC capacity for growth. No growth scheme for AMP8. </w:t>
            </w:r>
            <w:r w:rsidR="00BA0D48">
              <w:t>Should sites be phased for post 2030 delivery in Local Plan trajectory</w:t>
            </w:r>
            <w:r w:rsidR="002F6E04">
              <w:t>?</w:t>
            </w:r>
            <w:r w:rsidR="00BA0D48">
              <w:t xml:space="preserve"> </w:t>
            </w:r>
          </w:p>
        </w:tc>
        <w:tc>
          <w:tcPr>
            <w:tcW w:w="1587" w:type="dxa"/>
            <w:shd w:val="clear" w:color="auto" w:fill="FF0000"/>
          </w:tcPr>
          <w:p w14:paraId="35BD4E59" w14:textId="77777777" w:rsidR="00E3594B" w:rsidRDefault="005701BA" w:rsidP="003C44A6">
            <w:pPr>
              <w:jc w:val="both"/>
            </w:pPr>
            <w:r>
              <w:t>Red</w:t>
            </w:r>
          </w:p>
          <w:p w14:paraId="54DEB1C1" w14:textId="6CFA8265" w:rsidR="00EE3C44" w:rsidRPr="00B27298" w:rsidRDefault="00EE3C44" w:rsidP="003C44A6">
            <w:pPr>
              <w:jc w:val="both"/>
            </w:pPr>
            <w:r>
              <w:t>(2030</w:t>
            </w:r>
            <w:r w:rsidR="00BA0D48">
              <w:t>-35</w:t>
            </w:r>
            <w:r>
              <w:t xml:space="preserve">) </w:t>
            </w:r>
            <w:r w:rsidR="00294EDB">
              <w:t xml:space="preserve">Ofwat/ </w:t>
            </w:r>
            <w:r>
              <w:t>AMP9 Business Plan</w:t>
            </w:r>
            <w:r w:rsidR="00A13631">
              <w:t xml:space="preserve"> </w:t>
            </w:r>
            <w:r w:rsidR="00294EDB">
              <w:t xml:space="preserve">would need to </w:t>
            </w:r>
            <w:r w:rsidR="00A13631">
              <w:t>support AWS investment to address cu</w:t>
            </w:r>
            <w:r w:rsidR="004C02C4">
              <w:t xml:space="preserve">rrent flow and future Local Plan growth </w:t>
            </w:r>
            <w:r w:rsidR="00D90A93">
              <w:t>capacity.</w:t>
            </w:r>
            <w:r w:rsidR="00BA0D48">
              <w:t xml:space="preserve"> </w:t>
            </w:r>
          </w:p>
        </w:tc>
        <w:tc>
          <w:tcPr>
            <w:tcW w:w="1338" w:type="dxa"/>
            <w:shd w:val="clear" w:color="auto" w:fill="FF0000"/>
          </w:tcPr>
          <w:p w14:paraId="7E562741" w14:textId="44AB3A33" w:rsidR="00E3594B" w:rsidRDefault="005701BA" w:rsidP="003C44A6">
            <w:pPr>
              <w:jc w:val="both"/>
            </w:pPr>
            <w:r>
              <w:t>Red (Object)</w:t>
            </w:r>
          </w:p>
        </w:tc>
      </w:tr>
      <w:tr w:rsidR="00D90A93" w:rsidRPr="00A71E44" w14:paraId="0C66A17E" w14:textId="77777777" w:rsidTr="00BC44B6">
        <w:tc>
          <w:tcPr>
            <w:tcW w:w="1418" w:type="dxa"/>
          </w:tcPr>
          <w:p w14:paraId="3B63602B" w14:textId="4C8E9A68" w:rsidR="00D90A93" w:rsidRDefault="00934CD2" w:rsidP="003C44A6">
            <w:pPr>
              <w:jc w:val="both"/>
            </w:pPr>
            <w:r>
              <w:t xml:space="preserve">East Langton + Church </w:t>
            </w:r>
            <w:r w:rsidR="00F048A5">
              <w:t>Langton</w:t>
            </w:r>
          </w:p>
        </w:tc>
        <w:tc>
          <w:tcPr>
            <w:tcW w:w="1701" w:type="dxa"/>
          </w:tcPr>
          <w:p w14:paraId="6E6D15CE" w14:textId="7514F405" w:rsidR="00D90A93" w:rsidRDefault="00F048A5" w:rsidP="003C44A6">
            <w:pPr>
              <w:jc w:val="both"/>
            </w:pPr>
            <w:r>
              <w:t>43</w:t>
            </w:r>
          </w:p>
        </w:tc>
        <w:tc>
          <w:tcPr>
            <w:tcW w:w="1417" w:type="dxa"/>
          </w:tcPr>
          <w:p w14:paraId="69EA64E9" w14:textId="13C6B74D" w:rsidR="00D90A93" w:rsidRDefault="00793EE5" w:rsidP="003C44A6">
            <w:pPr>
              <w:jc w:val="both"/>
            </w:pPr>
            <w:r>
              <w:t>2</w:t>
            </w:r>
          </w:p>
        </w:tc>
        <w:tc>
          <w:tcPr>
            <w:tcW w:w="1560" w:type="dxa"/>
          </w:tcPr>
          <w:p w14:paraId="602E4032" w14:textId="6F6D1B93" w:rsidR="00D90A93" w:rsidRDefault="00DD1247" w:rsidP="003C44A6">
            <w:pPr>
              <w:jc w:val="both"/>
            </w:pPr>
            <w:r>
              <w:t>WRC has capacity for commitments &amp; allocations.</w:t>
            </w:r>
          </w:p>
        </w:tc>
        <w:tc>
          <w:tcPr>
            <w:tcW w:w="1587" w:type="dxa"/>
            <w:shd w:val="clear" w:color="auto" w:fill="3A7C22" w:themeFill="accent6" w:themeFillShade="BF"/>
          </w:tcPr>
          <w:p w14:paraId="251546A9" w14:textId="77777777" w:rsidR="0092554E" w:rsidRDefault="0092554E" w:rsidP="0092554E">
            <w:pPr>
              <w:jc w:val="both"/>
            </w:pPr>
            <w:r>
              <w:t>Green</w:t>
            </w:r>
          </w:p>
          <w:p w14:paraId="69619A2C" w14:textId="167B4AA4" w:rsidR="00D90A93" w:rsidRDefault="0092554E" w:rsidP="0092554E">
            <w:pPr>
              <w:jc w:val="both"/>
            </w:pPr>
            <w:r>
              <w:t xml:space="preserve">(2035). </w:t>
            </w:r>
            <w:r w:rsidR="00AA6476">
              <w:t>Windfalls or new</w:t>
            </w:r>
            <w:r>
              <w:t xml:space="preserve"> Plan with 723 homes per year directs </w:t>
            </w:r>
            <w:r w:rsidR="00491B20">
              <w:t>additional allocations</w:t>
            </w:r>
            <w:r>
              <w:t xml:space="preserve"> to </w:t>
            </w:r>
            <w:r w:rsidR="005F1DAA">
              <w:t xml:space="preserve">catchment which would take it over its DWF capacity. </w:t>
            </w:r>
          </w:p>
        </w:tc>
        <w:tc>
          <w:tcPr>
            <w:tcW w:w="1338" w:type="dxa"/>
            <w:shd w:val="clear" w:color="auto" w:fill="3A7C22" w:themeFill="accent6" w:themeFillShade="BF"/>
          </w:tcPr>
          <w:p w14:paraId="06FAE9AA" w14:textId="77777777" w:rsidR="0092554E" w:rsidRDefault="0092554E" w:rsidP="0092554E">
            <w:pPr>
              <w:jc w:val="both"/>
            </w:pPr>
            <w:r>
              <w:t xml:space="preserve">Green </w:t>
            </w:r>
          </w:p>
          <w:p w14:paraId="60648C48" w14:textId="62E2E4D0" w:rsidR="00D90A93" w:rsidRDefault="0092554E" w:rsidP="0092554E">
            <w:pPr>
              <w:jc w:val="both"/>
            </w:pPr>
            <w:r>
              <w:t>(Approve)</w:t>
            </w:r>
          </w:p>
        </w:tc>
      </w:tr>
      <w:tr w:rsidR="00D51369" w:rsidRPr="00A71E44" w14:paraId="1D012513" w14:textId="77777777" w:rsidTr="00EB42FF">
        <w:tc>
          <w:tcPr>
            <w:tcW w:w="1418" w:type="dxa"/>
          </w:tcPr>
          <w:p w14:paraId="7F1BBCD3" w14:textId="6D5C55C5" w:rsidR="00D51369" w:rsidRDefault="00D51369" w:rsidP="00D51369">
            <w:pPr>
              <w:jc w:val="both"/>
            </w:pPr>
            <w:r>
              <w:t>Foxton</w:t>
            </w:r>
          </w:p>
        </w:tc>
        <w:tc>
          <w:tcPr>
            <w:tcW w:w="1701" w:type="dxa"/>
          </w:tcPr>
          <w:p w14:paraId="6627D7AC" w14:textId="1170CD68" w:rsidR="00D51369" w:rsidRDefault="00D51369" w:rsidP="00D51369">
            <w:pPr>
              <w:jc w:val="both"/>
            </w:pPr>
            <w:r>
              <w:t>48</w:t>
            </w:r>
          </w:p>
        </w:tc>
        <w:tc>
          <w:tcPr>
            <w:tcW w:w="1417" w:type="dxa"/>
          </w:tcPr>
          <w:p w14:paraId="2189C66A" w14:textId="5C2C1067" w:rsidR="00D51369" w:rsidRDefault="00D51369" w:rsidP="00D51369">
            <w:pPr>
              <w:jc w:val="both"/>
            </w:pPr>
            <w:r>
              <w:t>22</w:t>
            </w:r>
          </w:p>
        </w:tc>
        <w:tc>
          <w:tcPr>
            <w:tcW w:w="1560" w:type="dxa"/>
          </w:tcPr>
          <w:p w14:paraId="3D8D9DAF" w14:textId="417DB160" w:rsidR="00D51369" w:rsidRDefault="00D51369" w:rsidP="00D51369">
            <w:pPr>
              <w:jc w:val="both"/>
            </w:pPr>
            <w:r>
              <w:t xml:space="preserve">WRC has no capacity based on Q80 </w:t>
            </w:r>
            <w:r w:rsidR="00ED085E">
              <w:t>5-year</w:t>
            </w:r>
            <w:r>
              <w:t xml:space="preserve"> average flows</w:t>
            </w:r>
          </w:p>
        </w:tc>
        <w:tc>
          <w:tcPr>
            <w:tcW w:w="1587" w:type="dxa"/>
            <w:shd w:val="clear" w:color="auto" w:fill="FFC000"/>
          </w:tcPr>
          <w:p w14:paraId="7CE71FDB" w14:textId="612BE502" w:rsidR="00D51369" w:rsidRDefault="00D51369" w:rsidP="00D51369">
            <w:pPr>
              <w:jc w:val="both"/>
            </w:pPr>
            <w:r w:rsidRPr="00B27298">
              <w:t>Amber</w:t>
            </w:r>
            <w:r>
              <w:t xml:space="preserve"> (2030) Change to Green dependent on designed &amp; built capacity in AMP8. </w:t>
            </w:r>
          </w:p>
        </w:tc>
        <w:tc>
          <w:tcPr>
            <w:tcW w:w="1338" w:type="dxa"/>
            <w:shd w:val="clear" w:color="auto" w:fill="FFC000"/>
          </w:tcPr>
          <w:p w14:paraId="6BFD7216" w14:textId="77777777" w:rsidR="00D51369" w:rsidRDefault="00D51369" w:rsidP="00D51369">
            <w:pPr>
              <w:jc w:val="both"/>
            </w:pPr>
            <w:r>
              <w:t xml:space="preserve">Amber </w:t>
            </w:r>
          </w:p>
          <w:p w14:paraId="49BE1A3B" w14:textId="479988E6" w:rsidR="00D51369" w:rsidRDefault="00D51369" w:rsidP="00D51369">
            <w:pPr>
              <w:jc w:val="both"/>
            </w:pPr>
            <w:r>
              <w:t xml:space="preserve">(Pre- </w:t>
            </w:r>
            <w:r w:rsidR="00ED085E">
              <w:t>Occupation Condition</w:t>
            </w:r>
            <w:r>
              <w:t>)</w:t>
            </w:r>
          </w:p>
        </w:tc>
      </w:tr>
      <w:tr w:rsidR="005233DF" w:rsidRPr="00A71E44" w14:paraId="09F0CC01" w14:textId="77777777" w:rsidTr="00E41202">
        <w:tc>
          <w:tcPr>
            <w:tcW w:w="1418" w:type="dxa"/>
          </w:tcPr>
          <w:p w14:paraId="1684893C" w14:textId="7C39A910" w:rsidR="005233DF" w:rsidRDefault="005233DF" w:rsidP="005233DF">
            <w:pPr>
              <w:jc w:val="both"/>
            </w:pPr>
            <w:r>
              <w:t>Great Easton</w:t>
            </w:r>
          </w:p>
        </w:tc>
        <w:tc>
          <w:tcPr>
            <w:tcW w:w="1701" w:type="dxa"/>
          </w:tcPr>
          <w:p w14:paraId="759178BE" w14:textId="3AB55677" w:rsidR="005233DF" w:rsidRDefault="005233DF" w:rsidP="005233DF">
            <w:pPr>
              <w:jc w:val="both"/>
            </w:pPr>
            <w:r>
              <w:t>58</w:t>
            </w:r>
          </w:p>
        </w:tc>
        <w:tc>
          <w:tcPr>
            <w:tcW w:w="1417" w:type="dxa"/>
          </w:tcPr>
          <w:p w14:paraId="68D208D5" w14:textId="50DD08A4" w:rsidR="005233DF" w:rsidRDefault="005233DF" w:rsidP="005233DF">
            <w:pPr>
              <w:jc w:val="both"/>
            </w:pPr>
            <w:r>
              <w:t>31</w:t>
            </w:r>
          </w:p>
        </w:tc>
        <w:tc>
          <w:tcPr>
            <w:tcW w:w="1560" w:type="dxa"/>
          </w:tcPr>
          <w:p w14:paraId="5CA9BE4D" w14:textId="36CA2138" w:rsidR="005233DF" w:rsidRDefault="005233DF" w:rsidP="005233DF">
            <w:pPr>
              <w:jc w:val="both"/>
            </w:pPr>
            <w:r w:rsidRPr="00A46526">
              <w:t xml:space="preserve">Q80 average and Q90 2024 DWF show no WRC capacity for growth. No growth scheme for AMP8. Should sites be phased for post 2030 delivery in Local Plan trajectory? </w:t>
            </w:r>
          </w:p>
        </w:tc>
        <w:tc>
          <w:tcPr>
            <w:tcW w:w="1587" w:type="dxa"/>
            <w:shd w:val="clear" w:color="auto" w:fill="FF0000"/>
          </w:tcPr>
          <w:p w14:paraId="424AF26F" w14:textId="77777777" w:rsidR="005233DF" w:rsidRDefault="005233DF" w:rsidP="005233DF">
            <w:pPr>
              <w:jc w:val="both"/>
            </w:pPr>
            <w:r w:rsidRPr="00A46526">
              <w:t>Red</w:t>
            </w:r>
          </w:p>
          <w:p w14:paraId="76F67187" w14:textId="20438AAF" w:rsidR="00F80F16" w:rsidRDefault="00F80F16" w:rsidP="005233DF">
            <w:pPr>
              <w:jc w:val="both"/>
            </w:pPr>
            <w:r>
              <w:t>(</w:t>
            </w:r>
            <w:r w:rsidRPr="00F80F16">
              <w:t>2030-35) Ofwat/ AMP9 Business Plan would need to support AWS investment to address current flow and future Local Plan growth capacity.</w:t>
            </w:r>
          </w:p>
        </w:tc>
        <w:tc>
          <w:tcPr>
            <w:tcW w:w="1338" w:type="dxa"/>
            <w:shd w:val="clear" w:color="auto" w:fill="FF0000"/>
          </w:tcPr>
          <w:p w14:paraId="676E34E9" w14:textId="7D2448D8" w:rsidR="005233DF" w:rsidRDefault="00E41202" w:rsidP="005233DF">
            <w:pPr>
              <w:jc w:val="both"/>
            </w:pPr>
            <w:r>
              <w:t>Red (Object)</w:t>
            </w:r>
          </w:p>
        </w:tc>
      </w:tr>
      <w:tr w:rsidR="00041661" w:rsidRPr="00A71E44" w14:paraId="065FD85B" w14:textId="77777777" w:rsidTr="00E41202">
        <w:tc>
          <w:tcPr>
            <w:tcW w:w="1418" w:type="dxa"/>
          </w:tcPr>
          <w:p w14:paraId="2B81FF02" w14:textId="78F43E29" w:rsidR="00041661" w:rsidRDefault="00041661" w:rsidP="00041661">
            <w:pPr>
              <w:jc w:val="both"/>
            </w:pPr>
            <w:r>
              <w:lastRenderedPageBreak/>
              <w:t>Hallaton</w:t>
            </w:r>
          </w:p>
        </w:tc>
        <w:tc>
          <w:tcPr>
            <w:tcW w:w="1701" w:type="dxa"/>
          </w:tcPr>
          <w:p w14:paraId="3520BE54" w14:textId="5538A261" w:rsidR="00041661" w:rsidRDefault="00041661" w:rsidP="00041661">
            <w:pPr>
              <w:jc w:val="both"/>
            </w:pPr>
            <w:r>
              <w:t>47</w:t>
            </w:r>
          </w:p>
        </w:tc>
        <w:tc>
          <w:tcPr>
            <w:tcW w:w="1417" w:type="dxa"/>
          </w:tcPr>
          <w:p w14:paraId="443264BF" w14:textId="5B08C5A1" w:rsidR="00041661" w:rsidRDefault="00041661" w:rsidP="00041661">
            <w:pPr>
              <w:jc w:val="both"/>
            </w:pPr>
            <w:r>
              <w:t>15</w:t>
            </w:r>
          </w:p>
        </w:tc>
        <w:tc>
          <w:tcPr>
            <w:tcW w:w="1560" w:type="dxa"/>
          </w:tcPr>
          <w:p w14:paraId="5C4FD11F" w14:textId="00429E2E" w:rsidR="00041661" w:rsidRPr="00A46526" w:rsidRDefault="00041661" w:rsidP="00041661">
            <w:pPr>
              <w:jc w:val="both"/>
            </w:pPr>
            <w:r w:rsidRPr="00A46526">
              <w:t xml:space="preserve">Q80 average and Q90 2024 DWF show no WRC capacity for growth. No growth scheme for AMP8. Should sites be phased for post 2030 delivery in Local Plan trajectory? </w:t>
            </w:r>
          </w:p>
        </w:tc>
        <w:tc>
          <w:tcPr>
            <w:tcW w:w="1587" w:type="dxa"/>
            <w:shd w:val="clear" w:color="auto" w:fill="FF0000"/>
          </w:tcPr>
          <w:p w14:paraId="16BAF652" w14:textId="77777777" w:rsidR="00041661" w:rsidRDefault="00041661" w:rsidP="00041661">
            <w:pPr>
              <w:jc w:val="both"/>
            </w:pPr>
            <w:r w:rsidRPr="00A46526">
              <w:t>Red</w:t>
            </w:r>
          </w:p>
          <w:p w14:paraId="7D167504" w14:textId="1D8876B1" w:rsidR="00041661" w:rsidRPr="00A46526" w:rsidRDefault="00041661" w:rsidP="00041661">
            <w:pPr>
              <w:jc w:val="both"/>
            </w:pPr>
            <w:r>
              <w:t>(</w:t>
            </w:r>
            <w:r w:rsidRPr="00F80F16">
              <w:t>2030-35) Ofwat/ AMP9 Business Plan would need to support AWS investment to address current flow and future Local Plan growth capacity.</w:t>
            </w:r>
          </w:p>
        </w:tc>
        <w:tc>
          <w:tcPr>
            <w:tcW w:w="1338" w:type="dxa"/>
            <w:shd w:val="clear" w:color="auto" w:fill="FF0000"/>
          </w:tcPr>
          <w:p w14:paraId="619403BA" w14:textId="173E3069" w:rsidR="00041661" w:rsidRDefault="00041661" w:rsidP="00041661">
            <w:pPr>
              <w:jc w:val="both"/>
            </w:pPr>
            <w:r>
              <w:t>Red (Object)</w:t>
            </w:r>
          </w:p>
        </w:tc>
      </w:tr>
      <w:tr w:rsidR="005001FB" w:rsidRPr="00A71E44" w14:paraId="4ADDE5DC" w14:textId="77777777" w:rsidTr="001B0BCC">
        <w:tc>
          <w:tcPr>
            <w:tcW w:w="1418" w:type="dxa"/>
          </w:tcPr>
          <w:p w14:paraId="1EE28728" w14:textId="34540140" w:rsidR="005001FB" w:rsidRDefault="005001FB" w:rsidP="005001FB">
            <w:pPr>
              <w:jc w:val="both"/>
            </w:pPr>
            <w:r>
              <w:t>Medbourne</w:t>
            </w:r>
          </w:p>
        </w:tc>
        <w:tc>
          <w:tcPr>
            <w:tcW w:w="1701" w:type="dxa"/>
          </w:tcPr>
          <w:p w14:paraId="7367D3C8" w14:textId="2FDAED1E" w:rsidR="005001FB" w:rsidRDefault="005001FB" w:rsidP="005001FB">
            <w:pPr>
              <w:jc w:val="both"/>
            </w:pPr>
            <w:r>
              <w:t>62</w:t>
            </w:r>
          </w:p>
        </w:tc>
        <w:tc>
          <w:tcPr>
            <w:tcW w:w="1417" w:type="dxa"/>
          </w:tcPr>
          <w:p w14:paraId="7134A015" w14:textId="7CC76539" w:rsidR="005001FB" w:rsidRDefault="005001FB" w:rsidP="005001FB">
            <w:pPr>
              <w:jc w:val="both"/>
            </w:pPr>
            <w:r>
              <w:t>7</w:t>
            </w:r>
          </w:p>
        </w:tc>
        <w:tc>
          <w:tcPr>
            <w:tcW w:w="1560" w:type="dxa"/>
          </w:tcPr>
          <w:p w14:paraId="0AEE2C5C" w14:textId="0B517D57" w:rsidR="005001FB" w:rsidRPr="00A46526" w:rsidRDefault="005001FB" w:rsidP="005001FB">
            <w:pPr>
              <w:jc w:val="both"/>
            </w:pPr>
            <w:r>
              <w:t xml:space="preserve">WRC has no capacity based on Q80 </w:t>
            </w:r>
            <w:r w:rsidR="00ED085E">
              <w:t>5-year</w:t>
            </w:r>
            <w:r>
              <w:t xml:space="preserve"> average flows</w:t>
            </w:r>
            <w:r w:rsidR="004C0298">
              <w:t>.</w:t>
            </w:r>
          </w:p>
        </w:tc>
        <w:tc>
          <w:tcPr>
            <w:tcW w:w="1587" w:type="dxa"/>
            <w:shd w:val="clear" w:color="auto" w:fill="FFC000"/>
          </w:tcPr>
          <w:p w14:paraId="6E287A18" w14:textId="08D0BC51" w:rsidR="005001FB" w:rsidRPr="00A46526" w:rsidRDefault="005001FB" w:rsidP="005001FB">
            <w:pPr>
              <w:jc w:val="both"/>
            </w:pPr>
            <w:r w:rsidRPr="00B27298">
              <w:t>Amber</w:t>
            </w:r>
            <w:r>
              <w:t xml:space="preserve"> (2030) Change to Green dependent on designed &amp; built capacity in AMP8. </w:t>
            </w:r>
          </w:p>
        </w:tc>
        <w:tc>
          <w:tcPr>
            <w:tcW w:w="1338" w:type="dxa"/>
            <w:shd w:val="clear" w:color="auto" w:fill="FFC000"/>
          </w:tcPr>
          <w:p w14:paraId="4AD535A2" w14:textId="77777777" w:rsidR="005001FB" w:rsidRDefault="005001FB" w:rsidP="005001FB">
            <w:pPr>
              <w:jc w:val="both"/>
            </w:pPr>
            <w:r>
              <w:t xml:space="preserve">Amber </w:t>
            </w:r>
          </w:p>
          <w:p w14:paraId="21E0DF29" w14:textId="14B8E56F" w:rsidR="005001FB" w:rsidRDefault="005001FB" w:rsidP="005001FB">
            <w:pPr>
              <w:jc w:val="both"/>
            </w:pPr>
            <w:r>
              <w:t xml:space="preserve">(Pre- </w:t>
            </w:r>
            <w:r w:rsidR="00ED085E">
              <w:t>Occupation Condition</w:t>
            </w:r>
            <w:r>
              <w:t>)</w:t>
            </w:r>
          </w:p>
        </w:tc>
      </w:tr>
      <w:tr w:rsidR="00DE5009" w:rsidRPr="00A71E44" w14:paraId="6A7A6792" w14:textId="77777777" w:rsidTr="001B0BCC">
        <w:tc>
          <w:tcPr>
            <w:tcW w:w="1418" w:type="dxa"/>
          </w:tcPr>
          <w:p w14:paraId="198A19CE" w14:textId="0FA4148D" w:rsidR="00DE5009" w:rsidRDefault="00DE5009" w:rsidP="00DE5009">
            <w:pPr>
              <w:jc w:val="both"/>
            </w:pPr>
            <w:r>
              <w:t xml:space="preserve">Tilton </w:t>
            </w:r>
          </w:p>
        </w:tc>
        <w:tc>
          <w:tcPr>
            <w:tcW w:w="1701" w:type="dxa"/>
          </w:tcPr>
          <w:p w14:paraId="620CB985" w14:textId="52C93977" w:rsidR="00DE5009" w:rsidRDefault="00DE5009" w:rsidP="00DE5009">
            <w:pPr>
              <w:jc w:val="both"/>
            </w:pPr>
            <w:r>
              <w:t>48</w:t>
            </w:r>
          </w:p>
        </w:tc>
        <w:tc>
          <w:tcPr>
            <w:tcW w:w="1417" w:type="dxa"/>
          </w:tcPr>
          <w:p w14:paraId="1D3605D0" w14:textId="1AFF642B" w:rsidR="00DE5009" w:rsidRDefault="00DE5009" w:rsidP="00DE5009">
            <w:pPr>
              <w:jc w:val="both"/>
            </w:pPr>
            <w:r>
              <w:t>27</w:t>
            </w:r>
          </w:p>
        </w:tc>
        <w:tc>
          <w:tcPr>
            <w:tcW w:w="1560" w:type="dxa"/>
          </w:tcPr>
          <w:p w14:paraId="3C89BA4E" w14:textId="713B11CE" w:rsidR="00DE5009" w:rsidRDefault="00DE5009" w:rsidP="00DE5009">
            <w:pPr>
              <w:jc w:val="both"/>
            </w:pPr>
            <w:r>
              <w:t xml:space="preserve">WRC has no capacity based on Q80 </w:t>
            </w:r>
            <w:r w:rsidR="00ED085E">
              <w:t>5-year</w:t>
            </w:r>
            <w:r>
              <w:t xml:space="preserve"> average flows</w:t>
            </w:r>
            <w:r w:rsidR="004C0298">
              <w:t>.</w:t>
            </w:r>
          </w:p>
        </w:tc>
        <w:tc>
          <w:tcPr>
            <w:tcW w:w="1587" w:type="dxa"/>
            <w:shd w:val="clear" w:color="auto" w:fill="FFC000"/>
          </w:tcPr>
          <w:p w14:paraId="0ABD0F97" w14:textId="08414DB0" w:rsidR="00DE5009" w:rsidRPr="00B27298" w:rsidRDefault="00DE5009" w:rsidP="00DE5009">
            <w:pPr>
              <w:jc w:val="both"/>
            </w:pPr>
            <w:r w:rsidRPr="00B27298">
              <w:t>Amber</w:t>
            </w:r>
            <w:r>
              <w:t xml:space="preserve"> (2030) Change to Green dependent on designed &amp; built capacity in AMP8. </w:t>
            </w:r>
          </w:p>
        </w:tc>
        <w:tc>
          <w:tcPr>
            <w:tcW w:w="1338" w:type="dxa"/>
            <w:shd w:val="clear" w:color="auto" w:fill="FFC000"/>
          </w:tcPr>
          <w:p w14:paraId="4C4E02BF" w14:textId="77777777" w:rsidR="00DE5009" w:rsidRDefault="00DE5009" w:rsidP="00DE5009">
            <w:pPr>
              <w:jc w:val="both"/>
            </w:pPr>
            <w:r>
              <w:t xml:space="preserve">Amber </w:t>
            </w:r>
          </w:p>
          <w:p w14:paraId="120BD1C0" w14:textId="2D705FB1" w:rsidR="00DE5009" w:rsidRDefault="00DE5009" w:rsidP="00DE5009">
            <w:pPr>
              <w:jc w:val="both"/>
            </w:pPr>
            <w:r>
              <w:t xml:space="preserve">(Pre- </w:t>
            </w:r>
            <w:r w:rsidR="00ED085E">
              <w:t>Occupation Condition</w:t>
            </w:r>
            <w:r>
              <w:t>)</w:t>
            </w:r>
          </w:p>
        </w:tc>
      </w:tr>
      <w:tr w:rsidR="00174DC8" w:rsidRPr="00A71E44" w14:paraId="18EE191B" w14:textId="77777777" w:rsidTr="008A3898">
        <w:tc>
          <w:tcPr>
            <w:tcW w:w="1418" w:type="dxa"/>
          </w:tcPr>
          <w:p w14:paraId="70D291B4" w14:textId="39A153E4" w:rsidR="00174DC8" w:rsidRDefault="00174DC8" w:rsidP="00174DC8">
            <w:pPr>
              <w:jc w:val="both"/>
            </w:pPr>
            <w:r>
              <w:t>Tugby</w:t>
            </w:r>
          </w:p>
        </w:tc>
        <w:tc>
          <w:tcPr>
            <w:tcW w:w="1701" w:type="dxa"/>
          </w:tcPr>
          <w:p w14:paraId="592C9343" w14:textId="2EEB0C6E" w:rsidR="00174DC8" w:rsidRDefault="00174DC8" w:rsidP="00174DC8">
            <w:pPr>
              <w:jc w:val="both"/>
            </w:pPr>
            <w:r>
              <w:t>40</w:t>
            </w:r>
          </w:p>
        </w:tc>
        <w:tc>
          <w:tcPr>
            <w:tcW w:w="1417" w:type="dxa"/>
          </w:tcPr>
          <w:p w14:paraId="1E1A4856" w14:textId="57A7700C" w:rsidR="00174DC8" w:rsidRDefault="00174DC8" w:rsidP="00174DC8">
            <w:pPr>
              <w:jc w:val="both"/>
            </w:pPr>
            <w:r>
              <w:t>14</w:t>
            </w:r>
          </w:p>
        </w:tc>
        <w:tc>
          <w:tcPr>
            <w:tcW w:w="1560" w:type="dxa"/>
          </w:tcPr>
          <w:p w14:paraId="7155BA4B" w14:textId="6BB4CCF3" w:rsidR="00174DC8" w:rsidRDefault="00174DC8" w:rsidP="00174DC8">
            <w:pPr>
              <w:jc w:val="both"/>
            </w:pPr>
            <w:r>
              <w:t>WRC has capacity for commitments &amp; allocations.</w:t>
            </w:r>
          </w:p>
        </w:tc>
        <w:tc>
          <w:tcPr>
            <w:tcW w:w="1587" w:type="dxa"/>
            <w:shd w:val="clear" w:color="auto" w:fill="3A7C22" w:themeFill="accent6" w:themeFillShade="BF"/>
          </w:tcPr>
          <w:p w14:paraId="122782A9" w14:textId="77777777" w:rsidR="00174DC8" w:rsidRDefault="00174DC8" w:rsidP="00174DC8">
            <w:pPr>
              <w:jc w:val="both"/>
            </w:pPr>
            <w:r>
              <w:t>Green</w:t>
            </w:r>
          </w:p>
          <w:p w14:paraId="00D8D226" w14:textId="10CC54F4" w:rsidR="00174DC8" w:rsidRPr="00B27298" w:rsidRDefault="00174DC8" w:rsidP="00174DC8">
            <w:pPr>
              <w:jc w:val="both"/>
            </w:pPr>
            <w:r>
              <w:t xml:space="preserve">(2035). Windfalls or new Plan with 723 homes per year directs additional allocations to catchment which would take it over its DWF capacity. </w:t>
            </w:r>
          </w:p>
        </w:tc>
        <w:tc>
          <w:tcPr>
            <w:tcW w:w="1338" w:type="dxa"/>
            <w:shd w:val="clear" w:color="auto" w:fill="3A7C22" w:themeFill="accent6" w:themeFillShade="BF"/>
          </w:tcPr>
          <w:p w14:paraId="09E3DA07" w14:textId="77777777" w:rsidR="00174DC8" w:rsidRDefault="00174DC8" w:rsidP="00174DC8">
            <w:pPr>
              <w:jc w:val="both"/>
            </w:pPr>
            <w:r>
              <w:t xml:space="preserve">Green </w:t>
            </w:r>
          </w:p>
          <w:p w14:paraId="1902BBDF" w14:textId="052FF9AA" w:rsidR="00174DC8" w:rsidRDefault="00174DC8" w:rsidP="00174DC8">
            <w:pPr>
              <w:jc w:val="both"/>
            </w:pPr>
            <w:r>
              <w:t>(Approve)</w:t>
            </w:r>
          </w:p>
        </w:tc>
      </w:tr>
    </w:tbl>
    <w:p w14:paraId="494D3645" w14:textId="77777777" w:rsidR="00FF601A" w:rsidRDefault="00FF601A" w:rsidP="00A71E44">
      <w:pPr>
        <w:jc w:val="both"/>
      </w:pPr>
    </w:p>
    <w:p w14:paraId="7E3A3F08" w14:textId="6695E3B9" w:rsidR="00745242" w:rsidRDefault="003B2944" w:rsidP="00A71E44">
      <w:pPr>
        <w:jc w:val="both"/>
      </w:pPr>
      <w:r>
        <w:t>AW</w:t>
      </w:r>
      <w:r w:rsidR="00C44A4C">
        <w:t>S</w:t>
      </w:r>
      <w:r>
        <w:t xml:space="preserve"> notes that there are no new allocations for Other or Windfall sites has these have either been built or </w:t>
      </w:r>
      <w:r w:rsidR="00C44A4C">
        <w:t xml:space="preserve">are existing commitments. AWS would </w:t>
      </w:r>
      <w:r w:rsidR="00A1441D">
        <w:t xml:space="preserve">observe that Mowsley </w:t>
      </w:r>
      <w:r w:rsidR="00993251">
        <w:t xml:space="preserve">with the </w:t>
      </w:r>
      <w:r w:rsidR="005D340B">
        <w:t xml:space="preserve">neighbouring settlement of Laughton </w:t>
      </w:r>
      <w:r w:rsidR="00A1441D">
        <w:t xml:space="preserve">is not listed in the table and </w:t>
      </w:r>
      <w:r w:rsidR="009C21A5">
        <w:t xml:space="preserve">so has no allocations. The WRC serving the village has </w:t>
      </w:r>
      <w:r w:rsidR="005D6FE5">
        <w:t xml:space="preserve">reasonable level of dry weather flow headroom </w:t>
      </w:r>
      <w:r w:rsidR="00CF67DB">
        <w:t xml:space="preserve">and </w:t>
      </w:r>
      <w:r w:rsidR="000E7440">
        <w:t xml:space="preserve">using Q90 flows for 2024 would </w:t>
      </w:r>
      <w:r w:rsidR="00CB4725">
        <w:t xml:space="preserve">be a location where AWS would support new homes. </w:t>
      </w:r>
    </w:p>
    <w:p w14:paraId="4892FC38" w14:textId="271FD17E" w:rsidR="002D1E8E" w:rsidRDefault="0027464F" w:rsidP="00A71E44">
      <w:pPr>
        <w:jc w:val="both"/>
      </w:pPr>
      <w:r>
        <w:t>4.</w:t>
      </w:r>
      <w:r w:rsidR="005828BA">
        <w:t xml:space="preserve">12. </w:t>
      </w:r>
      <w:r w:rsidR="00745242">
        <w:t>On the soundness question</w:t>
      </w:r>
      <w:r w:rsidR="00931FBA">
        <w:t xml:space="preserve">, AWS considers that </w:t>
      </w:r>
      <w:r w:rsidR="00BC314A">
        <w:t xml:space="preserve">whilst some 1,534 of the allocations are in WRC catchments that would require a pre-occupation condition if those applications came </w:t>
      </w:r>
      <w:r w:rsidR="00BC314A">
        <w:lastRenderedPageBreak/>
        <w:t xml:space="preserve">forward before WRC capacity was completed in AMP8 this does not </w:t>
      </w:r>
      <w:r w:rsidR="0020209C">
        <w:t>prevent those sites from being delivered. AWS recommends that a</w:t>
      </w:r>
      <w:r w:rsidR="00624D9D">
        <w:t xml:space="preserve">ll allocations have </w:t>
      </w:r>
      <w:r w:rsidR="00FA5D51">
        <w:t xml:space="preserve">supporting </w:t>
      </w:r>
      <w:r w:rsidR="00624D9D">
        <w:t xml:space="preserve">text </w:t>
      </w:r>
      <w:r w:rsidR="00FA5D51">
        <w:t>which advises applicants to engage</w:t>
      </w:r>
      <w:r w:rsidR="002B3F31">
        <w:t xml:space="preserve"> </w:t>
      </w:r>
      <w:r w:rsidR="00FA5D51">
        <w:t xml:space="preserve">early with AWS to ensure that </w:t>
      </w:r>
      <w:r w:rsidR="008334E6">
        <w:t xml:space="preserve">AWS investment can where possible be accelerated to support the </w:t>
      </w:r>
      <w:r w:rsidR="00407BF2">
        <w:t xml:space="preserve">occupation of new homes. For the 151 allocations at sites which have no </w:t>
      </w:r>
      <w:r w:rsidR="00922810">
        <w:t xml:space="preserve">WRC </w:t>
      </w:r>
      <w:r w:rsidR="00407BF2">
        <w:t xml:space="preserve">capacity </w:t>
      </w:r>
      <w:r w:rsidR="00922810">
        <w:t xml:space="preserve">and no planned investment </w:t>
      </w:r>
      <w:r w:rsidR="001D0D7A">
        <w:t xml:space="preserve">before 2030, AWS recommends that the </w:t>
      </w:r>
      <w:r w:rsidR="002836C3">
        <w:t xml:space="preserve">Council considers phasing those sites for the </w:t>
      </w:r>
      <w:r w:rsidR="00B01236">
        <w:t xml:space="preserve">last sixteen years of the Plan i.e. after 2030. </w:t>
      </w:r>
      <w:r w:rsidR="005B2D98">
        <w:t>AWS notes that</w:t>
      </w:r>
      <w:r w:rsidR="003E5B29">
        <w:t xml:space="preserve"> this would require one site shown in Appendix 5 for </w:t>
      </w:r>
      <w:r w:rsidR="002D1E8E">
        <w:t xml:space="preserve">delivery commencing in 2029/30 in Husbands Bosworth </w:t>
      </w:r>
      <w:r w:rsidR="00E618B0">
        <w:t xml:space="preserve">to be </w:t>
      </w:r>
      <w:r w:rsidR="0032707A">
        <w:t xml:space="preserve">rephased by one or more years to 2030/31 or later </w:t>
      </w:r>
      <w:r w:rsidR="00521554">
        <w:t>to enable additional capacity to be provided by AWS in AMP9 (2030-35).</w:t>
      </w:r>
    </w:p>
    <w:p w14:paraId="6A1CCAA6" w14:textId="60B877F3" w:rsidR="00A71E44" w:rsidRDefault="00B01236" w:rsidP="00A71E44">
      <w:pPr>
        <w:jc w:val="both"/>
        <w:rPr>
          <w:color w:val="4C94D8" w:themeColor="text2" w:themeTint="80"/>
        </w:rPr>
      </w:pPr>
      <w:r>
        <w:t xml:space="preserve">The adoption of a </w:t>
      </w:r>
      <w:r w:rsidR="00521554">
        <w:t>P</w:t>
      </w:r>
      <w:r>
        <w:t xml:space="preserve">lan in the next few years will enable AWS to include that growth in </w:t>
      </w:r>
      <w:r w:rsidR="008F5338">
        <w:t xml:space="preserve">draft investment plans to be submitted to Ofwat in 2027 and 2028 for </w:t>
      </w:r>
      <w:r w:rsidR="00DD6F6B">
        <w:t xml:space="preserve">expansion of capacity at those </w:t>
      </w:r>
      <w:r w:rsidR="0000173D">
        <w:t xml:space="preserve">three WRC sites. </w:t>
      </w:r>
      <w:r w:rsidR="00DF52F0" w:rsidRPr="00576EFE">
        <w:t>With refere</w:t>
      </w:r>
      <w:r w:rsidR="008F7801" w:rsidRPr="00576EFE">
        <w:t>nce to the need for a</w:t>
      </w:r>
      <w:r w:rsidR="00A71E44" w:rsidRPr="00576EFE">
        <w:t xml:space="preserve"> review the Plan after its adoption</w:t>
      </w:r>
      <w:r w:rsidR="008F7801" w:rsidRPr="00576EFE">
        <w:t>, possibly following local government reorganisation</w:t>
      </w:r>
      <w:r w:rsidR="00576EFE" w:rsidRPr="00576EFE">
        <w:t>,</w:t>
      </w:r>
      <w:r w:rsidR="008F7801" w:rsidRPr="00576EFE">
        <w:t xml:space="preserve"> </w:t>
      </w:r>
      <w:r w:rsidR="00A71E44" w:rsidRPr="00576EFE">
        <w:t>to address new requirements in the updated NPPF and increased housing need target</w:t>
      </w:r>
      <w:r w:rsidR="00576EFE" w:rsidRPr="00576EFE">
        <w:t xml:space="preserve">, AWS considers this </w:t>
      </w:r>
      <w:r w:rsidR="00A71E44" w:rsidRPr="00576EFE">
        <w:t>provides an opportunity to potentially align the future Local Plan to infrastructure and climate plans with a 2050 horizon</w:t>
      </w:r>
      <w:r w:rsidR="00A71E44" w:rsidRPr="00A71E44">
        <w:rPr>
          <w:color w:val="4C94D8" w:themeColor="text2" w:themeTint="80"/>
        </w:rPr>
        <w:t xml:space="preserve">. </w:t>
      </w:r>
    </w:p>
    <w:p w14:paraId="6046A258" w14:textId="318A80F4" w:rsidR="00CB0CD8" w:rsidRDefault="00CB0CD8" w:rsidP="00A71E44">
      <w:pPr>
        <w:jc w:val="both"/>
      </w:pPr>
      <w:r w:rsidRPr="00CB0CD8">
        <w:t>4.16</w:t>
      </w:r>
      <w:r>
        <w:t xml:space="preserve"> </w:t>
      </w:r>
      <w:r w:rsidR="00CD10C1">
        <w:t xml:space="preserve">and 4.17. </w:t>
      </w:r>
      <w:r w:rsidRPr="00CB0CD8">
        <w:t>AWS welcomes that none of the eleven WRCs which have descriptive permits have named allocations in the villages they serve.</w:t>
      </w:r>
      <w:r w:rsidR="00CD10C1">
        <w:t xml:space="preserve"> AWS </w:t>
      </w:r>
      <w:r w:rsidR="00EF43C6">
        <w:t xml:space="preserve">re-iterates our previous advice and published guidance that windfall sites </w:t>
      </w:r>
      <w:r w:rsidR="00B912C2">
        <w:t xml:space="preserve">in these eleven catchments would without developer funded monitoring of flows </w:t>
      </w:r>
      <w:r w:rsidR="007A7CBE">
        <w:t>be unable to support windfall housing sites. Again</w:t>
      </w:r>
      <w:r w:rsidR="006B6849">
        <w:t>,</w:t>
      </w:r>
      <w:r w:rsidR="007A7CBE">
        <w:t xml:space="preserve"> AWS recommends this is clearly set out in </w:t>
      </w:r>
      <w:r w:rsidR="006B6849">
        <w:t>an addition modification to the supporting text in paragraph 4.17.</w:t>
      </w:r>
    </w:p>
    <w:p w14:paraId="3597CEAD" w14:textId="04E28F60" w:rsidR="00CA171A" w:rsidRDefault="00CA171A" w:rsidP="00A71E44">
      <w:pPr>
        <w:jc w:val="both"/>
      </w:pPr>
      <w:r w:rsidRPr="00CF6433">
        <w:rPr>
          <w:b/>
          <w:bCs/>
        </w:rPr>
        <w:t>Policy DS02</w:t>
      </w:r>
      <w:r>
        <w:t xml:space="preserve">. </w:t>
      </w:r>
      <w:r w:rsidR="008023E1">
        <w:t xml:space="preserve">AWS supports the </w:t>
      </w:r>
      <w:r w:rsidR="007D7F33">
        <w:t xml:space="preserve">employment policy and confirms that developers will be required to fund additional WRC and network capacity for </w:t>
      </w:r>
      <w:r w:rsidR="00DA4139">
        <w:t xml:space="preserve">trade effluent flows from the new and expanded businesses. </w:t>
      </w:r>
    </w:p>
    <w:p w14:paraId="1D1619CB" w14:textId="03AF65E2" w:rsidR="00CF6433" w:rsidRDefault="00CF6433" w:rsidP="00A71E44">
      <w:pPr>
        <w:jc w:val="both"/>
      </w:pPr>
      <w:r w:rsidRPr="00537FF1">
        <w:rPr>
          <w:b/>
          <w:bCs/>
        </w:rPr>
        <w:t>Policy DS03</w:t>
      </w:r>
      <w:r w:rsidR="00537FF1">
        <w:rPr>
          <w:b/>
          <w:bCs/>
        </w:rPr>
        <w:t xml:space="preserve">. </w:t>
      </w:r>
      <w:r w:rsidR="009C500B">
        <w:t xml:space="preserve">AWS supports the </w:t>
      </w:r>
      <w:r w:rsidR="00753191">
        <w:t xml:space="preserve">sustainability hierarchy approach in </w:t>
      </w:r>
      <w:r w:rsidR="00F36691">
        <w:t xml:space="preserve">part b. of the policy and the reduction in </w:t>
      </w:r>
      <w:r w:rsidR="00063846">
        <w:t>energy use and so GHG from development and the aligned impro</w:t>
      </w:r>
      <w:r w:rsidR="008F1E43">
        <w:t xml:space="preserve">vements in water efficiency and consequent reductions in </w:t>
      </w:r>
      <w:r w:rsidR="008A526D">
        <w:t>wastewater</w:t>
      </w:r>
      <w:r w:rsidR="008F1E43">
        <w:t xml:space="preserve"> volumes per </w:t>
      </w:r>
      <w:r w:rsidR="00E413FA">
        <w:t xml:space="preserve">capita as new buildings and their use become more efficient. </w:t>
      </w:r>
      <w:r w:rsidR="00BA4D54">
        <w:t xml:space="preserve">It is not immediately evident how the selection of the spatial strategy has </w:t>
      </w:r>
      <w:r w:rsidR="00B32477">
        <w:t>been informed by reducing the need for new infrastructure through utilising existing capacity</w:t>
      </w:r>
      <w:r w:rsidR="00D87B76">
        <w:t xml:space="preserve">. This may </w:t>
      </w:r>
      <w:r w:rsidR="002C27FD">
        <w:t xml:space="preserve">require additional supporting text to Policy DS03 </w:t>
      </w:r>
      <w:r w:rsidR="004B706E">
        <w:t>to show how the spatial choice is justified</w:t>
      </w:r>
      <w:r w:rsidR="004F6BA5">
        <w:t xml:space="preserve"> and effective</w:t>
      </w:r>
      <w:r w:rsidR="008A526D">
        <w:t xml:space="preserve"> from a capital (embedded) carbon position as well as operational car</w:t>
      </w:r>
      <w:r w:rsidR="003A12E1">
        <w:t>bon – such as the transport emissions referenced in paragr</w:t>
      </w:r>
      <w:r w:rsidR="00A135CF">
        <w:t xml:space="preserve">aph 4.34. </w:t>
      </w:r>
    </w:p>
    <w:p w14:paraId="62DE2588" w14:textId="77777777" w:rsidR="009A01FD" w:rsidRDefault="004F6BA5" w:rsidP="00A71E44">
      <w:pPr>
        <w:jc w:val="both"/>
      </w:pPr>
      <w:r>
        <w:t>AWS supports part</w:t>
      </w:r>
      <w:r w:rsidR="009A01FD">
        <w:t>s</w:t>
      </w:r>
      <w:r>
        <w:t xml:space="preserve"> c. </w:t>
      </w:r>
      <w:r w:rsidR="009A01FD">
        <w:t xml:space="preserve">and d. </w:t>
      </w:r>
      <w:r>
        <w:t xml:space="preserve">of the </w:t>
      </w:r>
      <w:r w:rsidR="009A01FD">
        <w:t xml:space="preserve">policy and specifically the Local Natural Recovery Strategy which as a baseline document for Local Plans is an exemplar across Anglian Water’s 58 LPAs and 13 LNRS responsible body areas. </w:t>
      </w:r>
    </w:p>
    <w:p w14:paraId="24369E48" w14:textId="736947C2" w:rsidR="00A135CF" w:rsidRDefault="00A135CF" w:rsidP="00A71E44">
      <w:pPr>
        <w:jc w:val="both"/>
      </w:pPr>
      <w:r>
        <w:t>4.38 AWS welcomes the consistent refe</w:t>
      </w:r>
      <w:r w:rsidR="00C10419">
        <w:t>rencing of blue infrastructure along with green infrastructure</w:t>
      </w:r>
      <w:r w:rsidR="00FE54A2">
        <w:t xml:space="preserve"> and we consider that this is consistent with national policy. </w:t>
      </w:r>
    </w:p>
    <w:p w14:paraId="6B4DDBEF" w14:textId="69911E39" w:rsidR="008D4211" w:rsidRDefault="008D4211" w:rsidP="00A71E44">
      <w:pPr>
        <w:jc w:val="both"/>
      </w:pPr>
      <w:r w:rsidRPr="008D4211">
        <w:rPr>
          <w:b/>
          <w:bCs/>
        </w:rPr>
        <w:t xml:space="preserve">Policy DS04 </w:t>
      </w:r>
      <w:r w:rsidR="002229D0" w:rsidRPr="002229D0">
        <w:t>a</w:t>
      </w:r>
      <w:r w:rsidR="002229D0">
        <w:t xml:space="preserve">nd 4.43. AWS </w:t>
      </w:r>
      <w:r w:rsidR="00794F88">
        <w:t xml:space="preserve">would add that where new infrastructure is needed then </w:t>
      </w:r>
      <w:r w:rsidR="00DF3639">
        <w:t xml:space="preserve">as a general principle the larger the scale of development the higher the carbon efficiency of providing new water recycling capacity is per new home or </w:t>
      </w:r>
      <w:r w:rsidR="007F2FF0">
        <w:t xml:space="preserve">resident. That investment has as economies of scale and so larger developments reduce the costs to billpayers and developers per new home or new job. </w:t>
      </w:r>
    </w:p>
    <w:p w14:paraId="09C10CE9" w14:textId="41DA6BBB" w:rsidR="007F2FF0" w:rsidRDefault="00F22908" w:rsidP="00A71E44">
      <w:pPr>
        <w:jc w:val="both"/>
      </w:pPr>
      <w:r w:rsidRPr="00F22908">
        <w:rPr>
          <w:b/>
          <w:bCs/>
        </w:rPr>
        <w:t>Policy DS05.</w:t>
      </w:r>
      <w:r>
        <w:rPr>
          <w:b/>
          <w:bCs/>
        </w:rPr>
        <w:t xml:space="preserve"> </w:t>
      </w:r>
      <w:r w:rsidR="00571669" w:rsidRPr="00571669">
        <w:t>AWS</w:t>
      </w:r>
      <w:r w:rsidR="00571669">
        <w:t xml:space="preserve"> agrees that developers should demonstrate in liaison with infrastructure providers that </w:t>
      </w:r>
      <w:r w:rsidR="00C262B8">
        <w:t>infrastructure</w:t>
      </w:r>
      <w:r w:rsidR="00DF0132">
        <w:t>,</w:t>
      </w:r>
      <w:r w:rsidR="00C262B8">
        <w:t xml:space="preserve"> required to support new homes, services and jobs</w:t>
      </w:r>
      <w:r w:rsidR="00DF0132">
        <w:t>,</w:t>
      </w:r>
      <w:r w:rsidR="00C262B8">
        <w:t xml:space="preserve"> can be brought </w:t>
      </w:r>
      <w:r w:rsidR="00C262B8">
        <w:lastRenderedPageBreak/>
        <w:t xml:space="preserve">forward </w:t>
      </w:r>
      <w:r w:rsidR="00B26A7A">
        <w:t xml:space="preserve">in a timely and phased way. </w:t>
      </w:r>
      <w:r w:rsidR="0038561C">
        <w:t xml:space="preserve">We welcome part </w:t>
      </w:r>
      <w:r w:rsidR="00D54D76">
        <w:t xml:space="preserve">c. of </w:t>
      </w:r>
      <w:r w:rsidR="00D54D76" w:rsidRPr="00D54D76">
        <w:t>the policy</w:t>
      </w:r>
      <w:r w:rsidR="00A97B2E">
        <w:t xml:space="preserve"> and its focus on capacity being available ahead of occupation. </w:t>
      </w:r>
      <w:r w:rsidR="00C1687C">
        <w:t xml:space="preserve">The policy is </w:t>
      </w:r>
      <w:r w:rsidR="00B42341">
        <w:t xml:space="preserve">effective in that it seeks </w:t>
      </w:r>
      <w:r w:rsidR="00C1687C">
        <w:t>collabor</w:t>
      </w:r>
      <w:r w:rsidR="00B42341">
        <w:t xml:space="preserve">ation on phasing and implementation between developers, regulators and water sector infrastructure providers. </w:t>
      </w:r>
    </w:p>
    <w:p w14:paraId="64AE308F" w14:textId="77777777" w:rsidR="00783FDD" w:rsidRDefault="007478FD" w:rsidP="00A71E44">
      <w:pPr>
        <w:jc w:val="both"/>
      </w:pPr>
      <w:r>
        <w:t>4.53</w:t>
      </w:r>
      <w:r w:rsidR="00A760CA">
        <w:tab/>
        <w:t>AWS agrees and is planning for additional waste</w:t>
      </w:r>
      <w:r w:rsidR="00314FC1">
        <w:t>water treatment capacity to serve Market Ha</w:t>
      </w:r>
      <w:r w:rsidR="00733A47">
        <w:t>r</w:t>
      </w:r>
      <w:r w:rsidR="00314FC1">
        <w:t xml:space="preserve">borough and </w:t>
      </w:r>
      <w:r w:rsidR="00733A47">
        <w:t xml:space="preserve">Great Bowden and Lubenham, which are also in the </w:t>
      </w:r>
      <w:r w:rsidR="00AC69CE">
        <w:t xml:space="preserve">Harborough WRC catchment area. </w:t>
      </w:r>
      <w:r w:rsidR="005465C0">
        <w:t xml:space="preserve">AWS welcomes the Councils support for the </w:t>
      </w:r>
      <w:r w:rsidR="00822AC1">
        <w:t>detailed business case to deliver additional WRC capacity</w:t>
      </w:r>
      <w:r w:rsidR="00542BA8">
        <w:t xml:space="preserve"> at Harborough</w:t>
      </w:r>
      <w:r w:rsidR="00822AC1">
        <w:t xml:space="preserve">. </w:t>
      </w:r>
      <w:r w:rsidR="00542BA8">
        <w:t xml:space="preserve">More broadly AWS would welcome the Council’s support as part of our </w:t>
      </w:r>
      <w:r w:rsidR="00914CCC">
        <w:t xml:space="preserve">challenge to Ofwat through the CMA the AMP8 settlement to ensure that </w:t>
      </w:r>
      <w:r w:rsidR="009D0627">
        <w:t xml:space="preserve">AWS has an increase in </w:t>
      </w:r>
      <w:r w:rsidR="00744BF3">
        <w:t xml:space="preserve">water sector </w:t>
      </w:r>
      <w:r w:rsidR="009D0627">
        <w:t>investment for this AMP</w:t>
      </w:r>
      <w:r w:rsidR="00744BF3">
        <w:t xml:space="preserve"> (2025-30). </w:t>
      </w:r>
      <w:r w:rsidR="00A324B0">
        <w:t xml:space="preserve">For sites MH1, MH2 and MH3 AWS agrees </w:t>
      </w:r>
      <w:r w:rsidR="00C21DD8">
        <w:t xml:space="preserve">with paragraph 4.55 </w:t>
      </w:r>
      <w:r w:rsidR="00A324B0">
        <w:t xml:space="preserve">that </w:t>
      </w:r>
      <w:r w:rsidR="00C21DD8">
        <w:t xml:space="preserve">the developers should jointly </w:t>
      </w:r>
      <w:r w:rsidR="00631F2D">
        <w:t>produce a Joint Infrastructure Fra</w:t>
      </w:r>
      <w:r w:rsidR="002C37D9">
        <w:t xml:space="preserve">mework, including wastewater investment, and provide this with applications submitted to the Council. </w:t>
      </w:r>
      <w:r w:rsidR="00BC6D23">
        <w:t xml:space="preserve">We agree that this will require detailed pre-application guidance from AWS and the Environment Agency. </w:t>
      </w:r>
      <w:r w:rsidR="00281CE4">
        <w:t xml:space="preserve">Unless the developments introduce </w:t>
      </w:r>
      <w:r w:rsidR="00143570">
        <w:t xml:space="preserve">employment sites then the funding for the investment will either be from customer bills or from the developers. </w:t>
      </w:r>
      <w:r w:rsidR="001D3945">
        <w:t xml:space="preserve">On paragraph 4.58 AWS suggests that to be positively prepared the </w:t>
      </w:r>
      <w:r w:rsidR="00354268">
        <w:t xml:space="preserve">text could include reference to the need for planning conditions or s106 agreements to ensure </w:t>
      </w:r>
      <w:r w:rsidR="00A94265">
        <w:t xml:space="preserve">utilities infrastructure is in place prior to the occupation of new development. </w:t>
      </w:r>
    </w:p>
    <w:p w14:paraId="490C646D" w14:textId="77777777" w:rsidR="00783FDD" w:rsidRDefault="00783FDD" w:rsidP="00A71E44">
      <w:pPr>
        <w:jc w:val="both"/>
        <w:rPr>
          <w:b/>
          <w:bCs/>
        </w:rPr>
      </w:pPr>
      <w:r w:rsidRPr="00783FDD">
        <w:rPr>
          <w:b/>
          <w:bCs/>
        </w:rPr>
        <w:t>5</w:t>
      </w:r>
      <w:r w:rsidRPr="00783FDD">
        <w:rPr>
          <w:b/>
          <w:bCs/>
        </w:rPr>
        <w:tab/>
        <w:t>Key Development Sites</w:t>
      </w:r>
    </w:p>
    <w:p w14:paraId="14749E40" w14:textId="244EDB52" w:rsidR="00D01325" w:rsidRDefault="00CE0537" w:rsidP="00A71E44">
      <w:pPr>
        <w:jc w:val="both"/>
      </w:pPr>
      <w:r>
        <w:rPr>
          <w:b/>
          <w:bCs/>
        </w:rPr>
        <w:t xml:space="preserve">Policy SA01. </w:t>
      </w:r>
      <w:r w:rsidR="00A46326">
        <w:t xml:space="preserve">AWS notes that </w:t>
      </w:r>
      <w:r w:rsidR="00EB5FCB">
        <w:t xml:space="preserve">some 1700 homes are planned across three sites </w:t>
      </w:r>
      <w:r w:rsidR="00E431FA">
        <w:t xml:space="preserve">in Market Harborough along with </w:t>
      </w:r>
      <w:r w:rsidR="00FB2577">
        <w:t xml:space="preserve">4.9 ha of employment sites. </w:t>
      </w:r>
      <w:r w:rsidR="00425E75">
        <w:t xml:space="preserve">We welcome the specific reference to </w:t>
      </w:r>
      <w:r w:rsidR="00B0501C">
        <w:t xml:space="preserve">Flood Risk and surface water management, which should not be directed to the public sewer network and instead by managed </w:t>
      </w:r>
      <w:r w:rsidR="007A0994">
        <w:t xml:space="preserve">using SuDS. </w:t>
      </w:r>
      <w:r w:rsidR="00F30AB1">
        <w:t xml:space="preserve">The additional </w:t>
      </w:r>
      <w:r w:rsidR="00B857FD">
        <w:t xml:space="preserve">100 homes across two sites in Great Bowden will also require </w:t>
      </w:r>
      <w:r w:rsidR="00054477">
        <w:t xml:space="preserve">the utilisation of SuDS </w:t>
      </w:r>
      <w:r w:rsidR="004B1611">
        <w:t xml:space="preserve">to </w:t>
      </w:r>
      <w:r w:rsidR="00346FF0">
        <w:t xml:space="preserve">eliminate surface water flows to the public sewer and so effectively </w:t>
      </w:r>
      <w:r w:rsidR="004B1611">
        <w:t>manage</w:t>
      </w:r>
      <w:r w:rsidR="00346FF0">
        <w:t xml:space="preserve"> the design and operation of additional capacity at the Harborough WRC. </w:t>
      </w:r>
      <w:r w:rsidR="004B1611">
        <w:t xml:space="preserve"> </w:t>
      </w:r>
    </w:p>
    <w:p w14:paraId="55D6B560" w14:textId="0A7E4130" w:rsidR="00B42341" w:rsidRDefault="009D52B9" w:rsidP="00A71E44">
      <w:pPr>
        <w:jc w:val="both"/>
      </w:pPr>
      <w:r>
        <w:t xml:space="preserve">On the Kibworth allocations the WRC has capacity to serve the 475 new homes and </w:t>
      </w:r>
      <w:r w:rsidR="003D2399">
        <w:t xml:space="preserve">were the 3.1ha of employment space </w:t>
      </w:r>
      <w:r w:rsidR="00773DA4" w:rsidRPr="00773DA4">
        <w:t xml:space="preserve">generates </w:t>
      </w:r>
      <w:r w:rsidR="00773DA4">
        <w:t xml:space="preserve">domestic type foul water flows rather than trade effluent this is likely to be </w:t>
      </w:r>
      <w:r w:rsidR="005B727D">
        <w:t xml:space="preserve">capable of being managed using the existing Kibworth WRC capacity without the need for additional investment. AWS agrees that </w:t>
      </w:r>
      <w:r w:rsidR="00E05BC3">
        <w:t xml:space="preserve">the management of surface water should follow the drainage hierarchy and not utilise the public sewer network. </w:t>
      </w:r>
    </w:p>
    <w:p w14:paraId="618F9819" w14:textId="77777777" w:rsidR="00195760" w:rsidRDefault="005D4383" w:rsidP="00A71E44">
      <w:pPr>
        <w:jc w:val="both"/>
      </w:pPr>
      <w:r>
        <w:t xml:space="preserve">The </w:t>
      </w:r>
      <w:r w:rsidR="00B35DA4">
        <w:t xml:space="preserve">105 homes at the HB1 </w:t>
      </w:r>
      <w:r w:rsidR="00AF1731">
        <w:t>Husbands Bosworth site will need to come forward af</w:t>
      </w:r>
      <w:r w:rsidR="006E56F2">
        <w:t xml:space="preserve">ter 2030 in order for AWS to secure funding from Ofwat and support by the Environment Agency to increase </w:t>
      </w:r>
      <w:r w:rsidR="00195760">
        <w:t>capacity at the WRC for AMP9 (2030-35).</w:t>
      </w:r>
    </w:p>
    <w:p w14:paraId="7A31EE75" w14:textId="77777777" w:rsidR="00A61BC9" w:rsidRDefault="00F83634" w:rsidP="00A71E44">
      <w:pPr>
        <w:jc w:val="both"/>
      </w:pPr>
      <w:r w:rsidRPr="00F83634">
        <w:rPr>
          <w:b/>
          <w:bCs/>
        </w:rPr>
        <w:t xml:space="preserve">Policy SA03. </w:t>
      </w:r>
      <w:r w:rsidR="009400A4">
        <w:t xml:space="preserve">AWS supports the </w:t>
      </w:r>
      <w:r w:rsidR="00440DB5">
        <w:t xml:space="preserve">masterplan approach including part </w:t>
      </w:r>
      <w:r w:rsidR="00E16AA9">
        <w:t>3.</w:t>
      </w:r>
      <w:r w:rsidR="00D937EB">
        <w:t>g. and coordinating infrastructure provision</w:t>
      </w:r>
      <w:r w:rsidR="006D5AE5">
        <w:t xml:space="preserve"> and part </w:t>
      </w:r>
      <w:r w:rsidR="00E16AA9">
        <w:t>3.</w:t>
      </w:r>
      <w:r w:rsidR="006D5AE5">
        <w:t>l</w:t>
      </w:r>
      <w:r w:rsidR="00D937EB">
        <w:t>.</w:t>
      </w:r>
      <w:r w:rsidR="00E16AA9">
        <w:t xml:space="preserve"> surface water and SuDS provision, maintenance and management. </w:t>
      </w:r>
      <w:r w:rsidR="00D937EB">
        <w:t xml:space="preserve"> </w:t>
      </w:r>
      <w:r w:rsidR="00AA01ED">
        <w:t xml:space="preserve">AWS suggests that paragraph </w:t>
      </w:r>
      <w:r w:rsidR="008B45AE">
        <w:t xml:space="preserve">5.27 should include wastewater provision, not least as water </w:t>
      </w:r>
      <w:r w:rsidR="00C71404">
        <w:t xml:space="preserve">quality and biodiversity referenced in the text is partly determined by the reduction of </w:t>
      </w:r>
      <w:r w:rsidR="00A61BC9">
        <w:t>pollution risks from wastewater treatment capacity being in place.</w:t>
      </w:r>
    </w:p>
    <w:p w14:paraId="351CE1E2" w14:textId="754278F1" w:rsidR="00F325A4" w:rsidRPr="00F325A4" w:rsidRDefault="00F325A4" w:rsidP="00A71E44">
      <w:pPr>
        <w:jc w:val="both"/>
        <w:rPr>
          <w:b/>
          <w:bCs/>
        </w:rPr>
      </w:pPr>
      <w:r w:rsidRPr="00F325A4">
        <w:rPr>
          <w:b/>
          <w:bCs/>
        </w:rPr>
        <w:t>6.</w:t>
      </w:r>
      <w:r w:rsidRPr="00F325A4">
        <w:rPr>
          <w:b/>
          <w:bCs/>
        </w:rPr>
        <w:tab/>
        <w:t xml:space="preserve">Strategic Policies for Housing </w:t>
      </w:r>
    </w:p>
    <w:p w14:paraId="10DA268C" w14:textId="77777777" w:rsidR="00BB56BA" w:rsidRDefault="007A41DD" w:rsidP="00A71E44">
      <w:pPr>
        <w:jc w:val="both"/>
      </w:pPr>
      <w:r w:rsidRPr="007A41DD">
        <w:rPr>
          <w:b/>
          <w:bCs/>
        </w:rPr>
        <w:t>Policy HN05</w:t>
      </w:r>
      <w:r w:rsidR="00961C49">
        <w:rPr>
          <w:b/>
          <w:bCs/>
        </w:rPr>
        <w:t xml:space="preserve"> and Policy HN06</w:t>
      </w:r>
      <w:r w:rsidRPr="007A41DD">
        <w:rPr>
          <w:b/>
          <w:bCs/>
        </w:rPr>
        <w:t>.</w:t>
      </w:r>
      <w:r>
        <w:rPr>
          <w:b/>
          <w:bCs/>
        </w:rPr>
        <w:t xml:space="preserve"> </w:t>
      </w:r>
      <w:r w:rsidR="00A80896">
        <w:t>AWS supports part</w:t>
      </w:r>
      <w:r w:rsidR="004B650A">
        <w:t>s</w:t>
      </w:r>
      <w:r w:rsidR="00A80896">
        <w:t xml:space="preserve"> 5.b. of </w:t>
      </w:r>
      <w:r w:rsidR="004B650A">
        <w:t>HN05 and 4.b. of HN</w:t>
      </w:r>
      <w:r w:rsidR="00255D82">
        <w:t>06 and</w:t>
      </w:r>
      <w:r w:rsidR="00A80896">
        <w:t xml:space="preserve"> the need to ensure </w:t>
      </w:r>
      <w:r w:rsidR="00633C64">
        <w:t xml:space="preserve">self and custom build housing </w:t>
      </w:r>
      <w:r w:rsidR="00D43B20">
        <w:t xml:space="preserve">and pitches &amp; transit </w:t>
      </w:r>
      <w:r w:rsidR="00255D82">
        <w:t xml:space="preserve">sites </w:t>
      </w:r>
      <w:r w:rsidR="00633C64">
        <w:t xml:space="preserve">do not increase water quality and pollution risks. These sites may be more likely to be brought forward in smaller communities </w:t>
      </w:r>
      <w:r w:rsidR="00B50351">
        <w:lastRenderedPageBreak/>
        <w:t xml:space="preserve">served by descriptive permits WRCs. </w:t>
      </w:r>
      <w:r w:rsidR="00255D82">
        <w:t>Consequently,</w:t>
      </w:r>
      <w:r w:rsidR="00B50351">
        <w:t xml:space="preserve"> AWS suggests </w:t>
      </w:r>
      <w:r w:rsidR="000D1C14">
        <w:t xml:space="preserve">the applicants are directed to early engagement with AWS to avoid the progression of schemes to which AWS would object.  </w:t>
      </w:r>
    </w:p>
    <w:p w14:paraId="55564F15" w14:textId="6B24C2F3" w:rsidR="00BB56BA" w:rsidRDefault="00BB56BA" w:rsidP="00A71E44">
      <w:pPr>
        <w:jc w:val="both"/>
        <w:rPr>
          <w:b/>
          <w:bCs/>
        </w:rPr>
      </w:pPr>
      <w:r w:rsidRPr="00BB56BA">
        <w:rPr>
          <w:b/>
          <w:bCs/>
        </w:rPr>
        <w:t xml:space="preserve">7. </w:t>
      </w:r>
      <w:r w:rsidRPr="00BB56BA">
        <w:rPr>
          <w:b/>
          <w:bCs/>
        </w:rPr>
        <w:tab/>
        <w:t>Directing People to the Right Place</w:t>
      </w:r>
    </w:p>
    <w:p w14:paraId="4E596777" w14:textId="77777777" w:rsidR="00FD41FC" w:rsidRPr="00E563BE" w:rsidRDefault="00FD41FC" w:rsidP="00FD41FC">
      <w:pPr>
        <w:jc w:val="both"/>
      </w:pPr>
      <w:r w:rsidRPr="00E563BE">
        <w:t>7.2</w:t>
      </w:r>
      <w:r>
        <w:t xml:space="preserve"> AWS supports the final bullet and the encouragement for renewables. AWS as part of our net zero strategy will be considering options for renewables across the 22 WRC sites  </w:t>
      </w:r>
    </w:p>
    <w:p w14:paraId="1EB9697C" w14:textId="1B371C0C" w:rsidR="00871BB9" w:rsidRDefault="00871BB9" w:rsidP="00A71E44">
      <w:pPr>
        <w:jc w:val="both"/>
      </w:pPr>
      <w:r>
        <w:rPr>
          <w:b/>
          <w:bCs/>
        </w:rPr>
        <w:t xml:space="preserve">Policy AP01. </w:t>
      </w:r>
      <w:r>
        <w:t xml:space="preserve">AWS reiterates the </w:t>
      </w:r>
      <w:r w:rsidR="00917CFF">
        <w:t xml:space="preserve">need for development at Market Harborough including Great Bowden and Lubenham, </w:t>
      </w:r>
      <w:r w:rsidR="00FE14B2">
        <w:t>Great Easton and Hallaton to be phased during the plan period to enable wat</w:t>
      </w:r>
      <w:r w:rsidR="00B61C42">
        <w:t xml:space="preserve">er recycling treatment capacity to be brought forward. </w:t>
      </w:r>
      <w:r w:rsidR="00A0318E">
        <w:t xml:space="preserve">The </w:t>
      </w:r>
      <w:r w:rsidR="00A666DA">
        <w:t>comment at paragraph 7.3 of ‘where there</w:t>
      </w:r>
      <w:r w:rsidR="00CA5F21">
        <w:t xml:space="preserve"> are sufficient services’ covers the general application of the policy </w:t>
      </w:r>
      <w:r w:rsidR="0098671F">
        <w:t xml:space="preserve">provided the advice to developers on working with AWS as early as possible is included in earlier &amp;/ or </w:t>
      </w:r>
      <w:r w:rsidR="001A16CB">
        <w:t>site-specific</w:t>
      </w:r>
      <w:r w:rsidR="00073A46">
        <w:t xml:space="preserve"> policy.</w:t>
      </w:r>
    </w:p>
    <w:p w14:paraId="19B00EB8" w14:textId="3D3EC552" w:rsidR="004A4163" w:rsidRDefault="0007023F" w:rsidP="00A71E44">
      <w:pPr>
        <w:jc w:val="both"/>
      </w:pPr>
      <w:r w:rsidRPr="0007023F">
        <w:rPr>
          <w:b/>
          <w:bCs/>
        </w:rPr>
        <w:t xml:space="preserve">Policy AP03. </w:t>
      </w:r>
      <w:r>
        <w:t xml:space="preserve">AWS reiterates that </w:t>
      </w:r>
      <w:r w:rsidR="000F7227">
        <w:t xml:space="preserve">residential and other development in catchments served by WRC with descriptive permits will </w:t>
      </w:r>
      <w:r w:rsidR="00D9247F">
        <w:t xml:space="preserve">lead to an AWS objection. </w:t>
      </w:r>
      <w:r w:rsidR="00BF3E33">
        <w:t xml:space="preserve">This will also apply to Policy AP03 unless the </w:t>
      </w:r>
      <w:r w:rsidR="001836B4">
        <w:t xml:space="preserve">non- domestic </w:t>
      </w:r>
      <w:r w:rsidR="004A4163">
        <w:t>wastewater</w:t>
      </w:r>
      <w:r w:rsidR="0089268A">
        <w:t xml:space="preserve"> is categorised as trade effluent and so may enable a developer to fund additional </w:t>
      </w:r>
      <w:r w:rsidR="004A4163">
        <w:t xml:space="preserve">network and treatment capacity. </w:t>
      </w:r>
    </w:p>
    <w:p w14:paraId="18FD8FB5" w14:textId="7F0BA1C1" w:rsidR="0007023F" w:rsidRDefault="004A4163" w:rsidP="00A71E44">
      <w:pPr>
        <w:jc w:val="both"/>
      </w:pPr>
      <w:r w:rsidRPr="00D82E3E">
        <w:rPr>
          <w:b/>
          <w:bCs/>
        </w:rPr>
        <w:t xml:space="preserve">Policy AP05. </w:t>
      </w:r>
      <w:r w:rsidR="00D82E3E">
        <w:t xml:space="preserve">AWS supports the </w:t>
      </w:r>
      <w:r w:rsidR="002A498D">
        <w:t>renewables and low carbon policy as this will support AWS net zero delivery and increase resilience for wastewater facilities i</w:t>
      </w:r>
      <w:r w:rsidR="00DC761B">
        <w:t xml:space="preserve">f </w:t>
      </w:r>
      <w:r w:rsidR="002A498D">
        <w:t xml:space="preserve">a storm or other </w:t>
      </w:r>
      <w:r w:rsidR="00DC761B">
        <w:t>event knocks out the mains electricity supply</w:t>
      </w:r>
      <w:r w:rsidR="00C30C3E">
        <w:t xml:space="preserve"> and as such is </w:t>
      </w:r>
      <w:r w:rsidR="00094F60">
        <w:t xml:space="preserve">consistent with national policy. </w:t>
      </w:r>
    </w:p>
    <w:p w14:paraId="18B3E139" w14:textId="043B81CF" w:rsidR="00C30C3E" w:rsidRDefault="00C30C3E" w:rsidP="00A71E44">
      <w:pPr>
        <w:jc w:val="both"/>
        <w:rPr>
          <w:b/>
          <w:bCs/>
        </w:rPr>
      </w:pPr>
      <w:r w:rsidRPr="00261A43">
        <w:rPr>
          <w:b/>
          <w:bCs/>
        </w:rPr>
        <w:t xml:space="preserve">8. Development Standards </w:t>
      </w:r>
    </w:p>
    <w:p w14:paraId="5232A4B7" w14:textId="1497B5DC" w:rsidR="00261A43" w:rsidRPr="0056379E" w:rsidRDefault="00261A43" w:rsidP="00A71E44">
      <w:pPr>
        <w:jc w:val="both"/>
      </w:pPr>
      <w:r>
        <w:rPr>
          <w:b/>
          <w:bCs/>
        </w:rPr>
        <w:t xml:space="preserve">Policy DM01. </w:t>
      </w:r>
      <w:r w:rsidR="0056379E">
        <w:t xml:space="preserve">AWS supports the </w:t>
      </w:r>
      <w:r w:rsidR="00643A29">
        <w:t>high-quality</w:t>
      </w:r>
      <w:r w:rsidR="0056379E">
        <w:t xml:space="preserve"> design policy. </w:t>
      </w:r>
      <w:r w:rsidR="003C4189">
        <w:t xml:space="preserve">In submissions to other Local </w:t>
      </w:r>
      <w:r w:rsidR="001A16CB">
        <w:t>Plans,</w:t>
      </w:r>
      <w:r w:rsidR="003C4189">
        <w:t xml:space="preserve"> we have needed to advise that regulators and safety requirements may determine design and materials so that facilities are </w:t>
      </w:r>
      <w:r w:rsidR="004D7B1C">
        <w:t xml:space="preserve">driven in the design by </w:t>
      </w:r>
      <w:r w:rsidR="003C4189">
        <w:t>functional</w:t>
      </w:r>
      <w:r w:rsidR="004D7B1C">
        <w:t xml:space="preserve">ity. </w:t>
      </w:r>
      <w:r w:rsidR="00677D3E">
        <w:t>As drafted the policy though supports an objective view being taken by a Development Management o</w:t>
      </w:r>
      <w:r w:rsidR="00974C1D">
        <w:t xml:space="preserve">fficer faced with plans for a WRC or other piece of water sector infrastructure. The </w:t>
      </w:r>
      <w:r w:rsidR="00353395">
        <w:t xml:space="preserve">delivery of the infrastructure will be either to support growth &amp;/or to </w:t>
      </w:r>
      <w:r w:rsidR="00AE54DD">
        <w:t xml:space="preserve">enable improvements in environmental performance, such as </w:t>
      </w:r>
      <w:r w:rsidR="00A61428">
        <w:t xml:space="preserve">improving water quality in the receiving watercourse. AWS supports the general provision at part </w:t>
      </w:r>
      <w:r w:rsidR="002E4FBB">
        <w:t>i. to include water efficiency measures in new buildings.</w:t>
      </w:r>
      <w:r w:rsidR="001208CD">
        <w:t xml:space="preserve"> We would welcome this being expanded to include </w:t>
      </w:r>
      <w:r w:rsidR="000069C2">
        <w:t xml:space="preserve">refurbishment and renovation of existing buildings which require planning approval. </w:t>
      </w:r>
      <w:r w:rsidR="003C4189">
        <w:t xml:space="preserve"> </w:t>
      </w:r>
    </w:p>
    <w:p w14:paraId="4D7E870B" w14:textId="637D293A" w:rsidR="00027BB7" w:rsidRDefault="00514FF3" w:rsidP="00A71E44">
      <w:pPr>
        <w:jc w:val="both"/>
      </w:pPr>
      <w:r>
        <w:t xml:space="preserve">8.7 AWS agrees that water and wastewater management are </w:t>
      </w:r>
      <w:r w:rsidR="00DD74D2">
        <w:t xml:space="preserve">vital for health and well-being. Our position in phasing development to ensure sufficient WRC capacity is available is focused on </w:t>
      </w:r>
      <w:r w:rsidR="00D47234">
        <w:t xml:space="preserve">the potential ecological impacts in the receiving watercourse. At the higher end of pollution incidents – which are few and far between </w:t>
      </w:r>
      <w:r w:rsidR="00423E73">
        <w:t>–</w:t>
      </w:r>
      <w:r w:rsidR="00D47234">
        <w:t xml:space="preserve"> </w:t>
      </w:r>
      <w:r w:rsidR="00423E73">
        <w:t>insufficient capacity in the sewerage ne</w:t>
      </w:r>
      <w:r w:rsidR="00A51CF5">
        <w:t>twork can lead to human health risk including from sewer flooding.</w:t>
      </w:r>
    </w:p>
    <w:p w14:paraId="1AC359C9" w14:textId="54248787" w:rsidR="0032147B" w:rsidRDefault="00B26FEE" w:rsidP="00A71E44">
      <w:pPr>
        <w:jc w:val="both"/>
      </w:pPr>
      <w:r w:rsidRPr="00B26FEE">
        <w:rPr>
          <w:b/>
          <w:bCs/>
        </w:rPr>
        <w:t xml:space="preserve">Policy DM08. </w:t>
      </w:r>
      <w:r w:rsidR="00643A29" w:rsidRPr="00643A29">
        <w:t>AWS</w:t>
      </w:r>
      <w:r w:rsidR="00643A29">
        <w:t xml:space="preserve"> welcomes that </w:t>
      </w:r>
      <w:r w:rsidR="005D4786">
        <w:t xml:space="preserve">rainwater storage and reuse is front and centre of the sustainable drainage policy. </w:t>
      </w:r>
      <w:r w:rsidR="00A50CD3">
        <w:t>The policy is clear</w:t>
      </w:r>
      <w:r w:rsidR="00C9416F">
        <w:t xml:space="preserve">, consistent with national policy </w:t>
      </w:r>
      <w:r w:rsidR="00A50CD3">
        <w:t xml:space="preserve">and </w:t>
      </w:r>
      <w:r w:rsidR="00C9416F">
        <w:t xml:space="preserve">enables a </w:t>
      </w:r>
      <w:r w:rsidR="00857CC0">
        <w:t xml:space="preserve">betterment approach to be taken which ensures existing communities do not have an increased risk of flooding </w:t>
      </w:r>
      <w:r w:rsidR="0032147B">
        <w:t>even with the known heightened risks from climate change.</w:t>
      </w:r>
      <w:r w:rsidR="009C1E64">
        <w:t xml:space="preserve"> With reference to paragraph </w:t>
      </w:r>
      <w:r w:rsidR="00F00DAE">
        <w:t xml:space="preserve">8.27, AWS agrees the policy is justified as it is base don the 2024 Water Cycle Study. </w:t>
      </w:r>
    </w:p>
    <w:p w14:paraId="7D8CDE3A" w14:textId="77777777" w:rsidR="000605D9" w:rsidRDefault="002136D9" w:rsidP="00A71E44">
      <w:pPr>
        <w:jc w:val="both"/>
      </w:pPr>
      <w:r w:rsidRPr="006A41F5">
        <w:rPr>
          <w:b/>
          <w:bCs/>
        </w:rPr>
        <w:t>Policy DM09.</w:t>
      </w:r>
      <w:r>
        <w:t xml:space="preserve"> AWS </w:t>
      </w:r>
      <w:r w:rsidR="006A41F5">
        <w:t xml:space="preserve">supports the focus on reducing carbon emissions in construction </w:t>
      </w:r>
      <w:r w:rsidR="0054531C">
        <w:t xml:space="preserve">as part of the role of planning system is to mitigate climate change as well as to design to </w:t>
      </w:r>
      <w:r w:rsidR="009A1A14">
        <w:t xml:space="preserve">adapt to its impacts and increase resilience. </w:t>
      </w:r>
      <w:r w:rsidR="002307B7">
        <w:t xml:space="preserve">AWS supports the water efficiency policy in part e. </w:t>
      </w:r>
      <w:r w:rsidR="00A905BF">
        <w:t xml:space="preserve">for residential and non-residential development. We recognise that </w:t>
      </w:r>
      <w:r w:rsidR="00A13F46">
        <w:t xml:space="preserve">the policy seeks to go beyond 110litres PCC </w:t>
      </w:r>
      <w:r w:rsidR="00A13F46">
        <w:lastRenderedPageBreak/>
        <w:t xml:space="preserve">and we with the Environment Agency and Natural England are </w:t>
      </w:r>
      <w:r w:rsidR="002E34D6">
        <w:t xml:space="preserve">planning to publish a Water Efficiency Protocol which goes beyond the 110 litres standard. AWS requests that the Council remain open to a modification to the Plan which </w:t>
      </w:r>
      <w:r w:rsidR="00CC6937">
        <w:t xml:space="preserve">secures higher levels of water efficiency. This may be in </w:t>
      </w:r>
      <w:r w:rsidR="000E4591">
        <w:t xml:space="preserve">larger </w:t>
      </w:r>
      <w:r w:rsidR="00CC6937">
        <w:t xml:space="preserve">developments which </w:t>
      </w:r>
      <w:r w:rsidR="000E4591">
        <w:t xml:space="preserve">have areas of SuDS or BNG which make </w:t>
      </w:r>
      <w:r w:rsidR="007E0A70">
        <w:t xml:space="preserve">development scale water management viable. </w:t>
      </w:r>
    </w:p>
    <w:p w14:paraId="0E36EE81" w14:textId="77777777" w:rsidR="00497621" w:rsidRDefault="000605D9" w:rsidP="00A71E44">
      <w:pPr>
        <w:jc w:val="both"/>
      </w:pPr>
      <w:r>
        <w:t xml:space="preserve">8.30 AWS supports the use of water </w:t>
      </w:r>
      <w:r w:rsidR="009214E0">
        <w:t xml:space="preserve">efficiency statements to enable developers to work with AWS and other water companies to </w:t>
      </w:r>
      <w:r w:rsidR="002A0A90">
        <w:t xml:space="preserve">employee rainwater collection, grey water systems and </w:t>
      </w:r>
      <w:r w:rsidR="005A57CD">
        <w:t xml:space="preserve">other interventions to conserve and protect water resources.  </w:t>
      </w:r>
      <w:r w:rsidR="00C67DC5">
        <w:t xml:space="preserve">A planning permission approach is needed alongside a fixtures and fittings and consumer education approach </w:t>
      </w:r>
      <w:r w:rsidR="00C01DBD">
        <w:t xml:space="preserve">to ensure we have sufficient water to support growth and reduce the need for new infrastructure which has its own carbon impacts. </w:t>
      </w:r>
    </w:p>
    <w:p w14:paraId="157AE0C1" w14:textId="1B2CA3E7" w:rsidR="002136D9" w:rsidRDefault="00497621" w:rsidP="00A71E44">
      <w:pPr>
        <w:jc w:val="both"/>
      </w:pPr>
      <w:r w:rsidRPr="00677EA2">
        <w:rPr>
          <w:b/>
          <w:bCs/>
        </w:rPr>
        <w:t xml:space="preserve">Policy DM10. </w:t>
      </w:r>
      <w:r>
        <w:t xml:space="preserve">The policy and specifically part </w:t>
      </w:r>
      <w:r w:rsidR="00597327">
        <w:t>5. Illustrates why reducing water use in new development</w:t>
      </w:r>
      <w:r w:rsidR="00453568">
        <w:t xml:space="preserve"> and </w:t>
      </w:r>
      <w:r w:rsidR="00597327">
        <w:t xml:space="preserve">cutting the volume </w:t>
      </w:r>
      <w:r w:rsidR="00453568">
        <w:t>of wastewater can support habitat and landscape re</w:t>
      </w:r>
      <w:r w:rsidR="00677EA2">
        <w:t xml:space="preserve">covery. </w:t>
      </w:r>
      <w:r w:rsidR="007E0A70">
        <w:t xml:space="preserve"> </w:t>
      </w:r>
    </w:p>
    <w:p w14:paraId="63BDFED4" w14:textId="69C9EBB2" w:rsidR="00256BB8" w:rsidRDefault="00256BB8" w:rsidP="00A71E44">
      <w:pPr>
        <w:jc w:val="both"/>
      </w:pPr>
      <w:r w:rsidRPr="00A520C9">
        <w:rPr>
          <w:b/>
          <w:bCs/>
        </w:rPr>
        <w:t xml:space="preserve">Policy DM11. </w:t>
      </w:r>
      <w:r w:rsidR="00A520C9">
        <w:t xml:space="preserve">The policy is justified and supports the AWS </w:t>
      </w:r>
      <w:r w:rsidR="005340C6">
        <w:t xml:space="preserve">approach to ensuring that development does not impact on water quality in the district </w:t>
      </w:r>
      <w:r w:rsidR="006935C8">
        <w:t xml:space="preserve">and so consequently effects water environment biodiversity. </w:t>
      </w:r>
      <w:r w:rsidR="00DB725E">
        <w:t xml:space="preserve">Paragraph 8.36 should reference that the three main causes of poor water quality are </w:t>
      </w:r>
      <w:r w:rsidR="00CD7424">
        <w:t>agricultural runoff</w:t>
      </w:r>
      <w:r w:rsidR="000D6B15">
        <w:t xml:space="preserve"> (see Glossary </w:t>
      </w:r>
      <w:r w:rsidR="00977EC2">
        <w:t>entry for WFD)</w:t>
      </w:r>
      <w:r w:rsidR="00CD7424">
        <w:t xml:space="preserve">, urban &amp; road runoff </w:t>
      </w:r>
      <w:r w:rsidR="003B401E">
        <w:t xml:space="preserve">(see Glossary </w:t>
      </w:r>
      <w:r w:rsidR="000D6B15">
        <w:t xml:space="preserve">entry for SuDS) </w:t>
      </w:r>
      <w:r w:rsidR="00CD7424">
        <w:t xml:space="preserve">and permitted discharges from the public </w:t>
      </w:r>
      <w:r w:rsidR="00F02007">
        <w:t xml:space="preserve">sewerage network. </w:t>
      </w:r>
    </w:p>
    <w:p w14:paraId="351E5C6A" w14:textId="67A95E6F" w:rsidR="00F02007" w:rsidRDefault="00F02007" w:rsidP="00A71E44">
      <w:pPr>
        <w:jc w:val="both"/>
      </w:pPr>
      <w:r>
        <w:t xml:space="preserve">8.37. </w:t>
      </w:r>
      <w:r w:rsidR="00673A7E">
        <w:t>AWS welcomes the Plan</w:t>
      </w:r>
      <w:r w:rsidR="00A11F9E">
        <w:t>’</w:t>
      </w:r>
      <w:r w:rsidR="00673A7E">
        <w:t>s recognition of the vital role that WRC</w:t>
      </w:r>
      <w:r w:rsidR="00FD5F23">
        <w:t xml:space="preserve">s and the wider sewerage and drainage networks play in supporting sustainable growth. </w:t>
      </w:r>
    </w:p>
    <w:p w14:paraId="57EC0971" w14:textId="5A8FB074" w:rsidR="00824260" w:rsidRDefault="00824260" w:rsidP="00A71E44">
      <w:pPr>
        <w:jc w:val="both"/>
        <w:rPr>
          <w:b/>
          <w:bCs/>
        </w:rPr>
      </w:pPr>
      <w:r w:rsidRPr="00824260">
        <w:rPr>
          <w:b/>
          <w:bCs/>
        </w:rPr>
        <w:t>9. Monitoring and Delivery</w:t>
      </w:r>
    </w:p>
    <w:p w14:paraId="03DA80A6" w14:textId="77777777" w:rsidR="0085578C" w:rsidRDefault="009B67CF" w:rsidP="00A71E44">
      <w:pPr>
        <w:jc w:val="both"/>
      </w:pPr>
      <w:r>
        <w:rPr>
          <w:b/>
          <w:bCs/>
        </w:rPr>
        <w:t xml:space="preserve">Policy IM01. </w:t>
      </w:r>
      <w:r>
        <w:t xml:space="preserve">AWS would welcome the inclusion in Appendix 3 of metrics to </w:t>
      </w:r>
      <w:r w:rsidR="00747278">
        <w:t xml:space="preserve">monitor compliance with </w:t>
      </w:r>
      <w:r w:rsidR="0021470E">
        <w:t xml:space="preserve">Policy DM09 on water efficiency. We recommend is </w:t>
      </w:r>
      <w:r w:rsidR="00D8143B">
        <w:t>two stage process with</w:t>
      </w:r>
      <w:r w:rsidR="0085578C">
        <w:t>:</w:t>
      </w:r>
    </w:p>
    <w:p w14:paraId="39B04E79" w14:textId="77777777" w:rsidR="00E124B8" w:rsidRDefault="00D8143B" w:rsidP="00E124B8">
      <w:pPr>
        <w:pStyle w:val="ListParagraph"/>
        <w:numPr>
          <w:ilvl w:val="0"/>
          <w:numId w:val="15"/>
        </w:numPr>
        <w:jc w:val="both"/>
      </w:pPr>
      <w:r>
        <w:t xml:space="preserve"> a validation check that submitted applications include </w:t>
      </w:r>
      <w:r w:rsidR="004733FF">
        <w:t xml:space="preserve">design </w:t>
      </w:r>
      <w:r w:rsidR="00507B2A">
        <w:t xml:space="preserve">and measures as part of the Water Efficiency Statement and </w:t>
      </w:r>
    </w:p>
    <w:p w14:paraId="689C5839" w14:textId="77777777" w:rsidR="00690443" w:rsidRDefault="009F130C" w:rsidP="00690443">
      <w:pPr>
        <w:pStyle w:val="ListParagraph"/>
        <w:numPr>
          <w:ilvl w:val="0"/>
          <w:numId w:val="15"/>
        </w:numPr>
        <w:jc w:val="both"/>
      </w:pPr>
      <w:r>
        <w:t xml:space="preserve">confirmation that a condition in the planning permission references the Water Efficiency Statement and other measures to </w:t>
      </w:r>
      <w:r w:rsidR="00C74E19">
        <w:t xml:space="preserve">reduce water use and support reduced volumes of water being </w:t>
      </w:r>
      <w:r w:rsidR="00E124B8">
        <w:t>directed to the sewerage sys</w:t>
      </w:r>
      <w:r w:rsidR="006F2200">
        <w:t>tem</w:t>
      </w:r>
    </w:p>
    <w:p w14:paraId="183EAB8D" w14:textId="77777777" w:rsidR="009069B7" w:rsidRDefault="009069B7" w:rsidP="008E3DB3">
      <w:pPr>
        <w:jc w:val="both"/>
      </w:pPr>
    </w:p>
    <w:p w14:paraId="485D3666" w14:textId="44A6AE74" w:rsidR="008E3DB3" w:rsidRDefault="001F35C9" w:rsidP="008E3DB3">
      <w:pPr>
        <w:jc w:val="both"/>
        <w:rPr>
          <w:b/>
          <w:bCs/>
        </w:rPr>
      </w:pPr>
      <w:r>
        <w:rPr>
          <w:b/>
          <w:bCs/>
        </w:rPr>
        <w:t>5.</w:t>
      </w:r>
      <w:r>
        <w:rPr>
          <w:b/>
          <w:bCs/>
        </w:rPr>
        <w:tab/>
      </w:r>
      <w:r w:rsidR="008E3DB3" w:rsidRPr="009069B7">
        <w:rPr>
          <w:b/>
          <w:bCs/>
        </w:rPr>
        <w:t>Joint Water Cycle</w:t>
      </w:r>
      <w:r w:rsidR="00F26B04" w:rsidRPr="009069B7">
        <w:rPr>
          <w:b/>
          <w:bCs/>
        </w:rPr>
        <w:t xml:space="preserve"> Scoping Study (</w:t>
      </w:r>
      <w:r w:rsidR="009069B7" w:rsidRPr="009069B7">
        <w:rPr>
          <w:b/>
          <w:bCs/>
        </w:rPr>
        <w:t xml:space="preserve">December </w:t>
      </w:r>
      <w:r w:rsidR="00F26B04" w:rsidRPr="009069B7">
        <w:rPr>
          <w:b/>
          <w:bCs/>
        </w:rPr>
        <w:t>2024)</w:t>
      </w:r>
    </w:p>
    <w:p w14:paraId="6068FE33" w14:textId="60F32283" w:rsidR="00A217E4" w:rsidRDefault="00113E18" w:rsidP="008E3DB3">
      <w:pPr>
        <w:jc w:val="both"/>
      </w:pPr>
      <w:r>
        <w:t xml:space="preserve">AWS </w:t>
      </w:r>
      <w:r w:rsidR="00A217E4">
        <w:t>note</w:t>
      </w:r>
      <w:r>
        <w:t>s</w:t>
      </w:r>
      <w:r w:rsidR="00A217E4">
        <w:t xml:space="preserve"> that a Stage 2 </w:t>
      </w:r>
      <w:r w:rsidR="007C2E1A" w:rsidRPr="007C2E1A">
        <w:t xml:space="preserve">Water Cycle </w:t>
      </w:r>
      <w:r w:rsidR="00A217E4">
        <w:t xml:space="preserve">Study </w:t>
      </w:r>
      <w:r w:rsidR="007C2E1A">
        <w:t xml:space="preserve">(WCS) </w:t>
      </w:r>
      <w:r w:rsidR="00A217E4">
        <w:t xml:space="preserve">is proposed </w:t>
      </w:r>
      <w:r w:rsidR="000B0CAC">
        <w:t xml:space="preserve">and would welcome confirmation that this will be completed </w:t>
      </w:r>
      <w:r w:rsidR="007C2E1A">
        <w:t xml:space="preserve">and submitted as part of the Evidence Base </w:t>
      </w:r>
      <w:r w:rsidR="000B0CAC">
        <w:t xml:space="preserve">prior to the consideration of water and wastewater matters at the Local Plan Examination. </w:t>
      </w:r>
      <w:r w:rsidR="007C2E1A">
        <w:t xml:space="preserve">AWS has no fundamental issues with the evidence base, the policy or allocation which the Stage 1 WCS </w:t>
      </w:r>
      <w:r w:rsidR="000D3EE7">
        <w:t xml:space="preserve">informs. The recent changes in AWS position on </w:t>
      </w:r>
      <w:r w:rsidR="00D9688F">
        <w:t xml:space="preserve">planning application conditions or objections including developments within </w:t>
      </w:r>
      <w:r w:rsidR="00351F4D">
        <w:t xml:space="preserve">catchments served by </w:t>
      </w:r>
      <w:r w:rsidR="00D9688F">
        <w:t>WRC</w:t>
      </w:r>
      <w:r w:rsidR="007C2E1A">
        <w:t xml:space="preserve"> </w:t>
      </w:r>
      <w:r w:rsidR="00351F4D">
        <w:t xml:space="preserve">with descriptive permits </w:t>
      </w:r>
      <w:r w:rsidR="00DD79D3">
        <w:t xml:space="preserve">are capable of being addressed through minor modifications to supporting text. </w:t>
      </w:r>
      <w:r w:rsidR="00850CC4">
        <w:t xml:space="preserve">The Council will need to consider whether the phasing of some sites </w:t>
      </w:r>
      <w:r w:rsidR="007B4B1E">
        <w:t xml:space="preserve">(page xvi) </w:t>
      </w:r>
      <w:r w:rsidR="00850CC4">
        <w:t xml:space="preserve">could possibly </w:t>
      </w:r>
      <w:r w:rsidR="009F1C7C">
        <w:t xml:space="preserve">impact on delivery trajectories and so whether the buffer for delivery or acceleration of delivery at other sites </w:t>
      </w:r>
      <w:r w:rsidR="001066FF">
        <w:t xml:space="preserve">can address this </w:t>
      </w:r>
      <w:r w:rsidR="004B1855">
        <w:t>short-term</w:t>
      </w:r>
      <w:r w:rsidR="001066FF">
        <w:t xml:space="preserve"> impact on housing supply.  The Stage 2 WCS would enable </w:t>
      </w:r>
      <w:r w:rsidR="004B1855">
        <w:t xml:space="preserve">the Council to consider this </w:t>
      </w:r>
      <w:r w:rsidR="000E677A">
        <w:t xml:space="preserve">question </w:t>
      </w:r>
      <w:r w:rsidR="00A93186">
        <w:t>– through updating Tab</w:t>
      </w:r>
      <w:r w:rsidR="005F7859">
        <w:t>l</w:t>
      </w:r>
      <w:r w:rsidR="00A93186">
        <w:t>e</w:t>
      </w:r>
      <w:r w:rsidR="005F7859">
        <w:t>s</w:t>
      </w:r>
      <w:r w:rsidR="00A93186">
        <w:t xml:space="preserve"> 7.2</w:t>
      </w:r>
      <w:r w:rsidR="00781635">
        <w:t xml:space="preserve"> and 7.4</w:t>
      </w:r>
      <w:r w:rsidR="00EA0A24">
        <w:t>, for example</w:t>
      </w:r>
      <w:r w:rsidR="0066172F">
        <w:t xml:space="preserve"> - alongside</w:t>
      </w:r>
      <w:r w:rsidR="000E677A">
        <w:t xml:space="preserve"> other updates to the evidence base including housing starts, completions</w:t>
      </w:r>
      <w:r w:rsidR="004558F8">
        <w:t xml:space="preserve">, and new applications. </w:t>
      </w:r>
      <w:r w:rsidR="001066FF">
        <w:t xml:space="preserve"> </w:t>
      </w:r>
    </w:p>
    <w:p w14:paraId="327B3496" w14:textId="482FB3CF" w:rsidR="006C71B2" w:rsidRDefault="006C71B2" w:rsidP="008E3DB3">
      <w:pPr>
        <w:jc w:val="both"/>
      </w:pPr>
      <w:r>
        <w:lastRenderedPageBreak/>
        <w:t xml:space="preserve">AWS recognises that the Final Determination of Water Company business plans in December 2024 (subject to CMA </w:t>
      </w:r>
      <w:r w:rsidR="00B64E3F">
        <w:t xml:space="preserve">review) makes it difficult if not impossible for the Council to finalise a WCS or IWMS </w:t>
      </w:r>
      <w:r w:rsidR="003514AE">
        <w:t xml:space="preserve">ahead of this Final Determination date. </w:t>
      </w:r>
      <w:r w:rsidR="00DD75FB">
        <w:t xml:space="preserve">AWS would welcome the proposal at Table 7.6 to provide an annual </w:t>
      </w:r>
      <w:r w:rsidR="00DF63D2">
        <w:t xml:space="preserve">housing trajectory to inform WRC growth and investment plans. AWS suggests that </w:t>
      </w:r>
      <w:r w:rsidR="00537C14">
        <w:t xml:space="preserve">the Council is provided with a summary of the housing and growth numbers at DMO and DM1 stages </w:t>
      </w:r>
      <w:r w:rsidR="00B6616F">
        <w:t xml:space="preserve">for the design of WRC upgrades to verify that the growth numbers reflect the Council’s understanding of growth </w:t>
      </w:r>
      <w:r w:rsidR="007651CC">
        <w:t xml:space="preserve">quanta and timings. </w:t>
      </w:r>
    </w:p>
    <w:p w14:paraId="4FDDD21A" w14:textId="6DF649AA" w:rsidR="00941196" w:rsidRDefault="001F35C9" w:rsidP="008E3DB3">
      <w:pPr>
        <w:jc w:val="both"/>
        <w:rPr>
          <w:b/>
          <w:bCs/>
        </w:rPr>
      </w:pPr>
      <w:r>
        <w:rPr>
          <w:b/>
          <w:bCs/>
        </w:rPr>
        <w:t>6.</w:t>
      </w:r>
      <w:r>
        <w:rPr>
          <w:b/>
          <w:bCs/>
        </w:rPr>
        <w:tab/>
      </w:r>
      <w:r w:rsidR="00941196" w:rsidRPr="0066172F">
        <w:rPr>
          <w:b/>
          <w:bCs/>
        </w:rPr>
        <w:t>Infrastructure Delivery Plan</w:t>
      </w:r>
      <w:r w:rsidR="0066172F">
        <w:rPr>
          <w:b/>
          <w:bCs/>
        </w:rPr>
        <w:t xml:space="preserve"> (February 202</w:t>
      </w:r>
      <w:r w:rsidR="00113E18">
        <w:rPr>
          <w:b/>
          <w:bCs/>
        </w:rPr>
        <w:t>5)</w:t>
      </w:r>
    </w:p>
    <w:p w14:paraId="31729D40" w14:textId="7A7967E1" w:rsidR="00B26770" w:rsidRDefault="00B26770" w:rsidP="008E3DB3">
      <w:pPr>
        <w:jc w:val="both"/>
      </w:pPr>
      <w:r w:rsidRPr="00B26770">
        <w:t>AWS</w:t>
      </w:r>
      <w:r>
        <w:t xml:space="preserve"> has no detailed comments other tha</w:t>
      </w:r>
      <w:r w:rsidR="0009577A">
        <w:t xml:space="preserve">n to advise that the 99% of Harborough is within Severn Trent area for water supply. </w:t>
      </w:r>
      <w:r w:rsidR="002649FC">
        <w:t xml:space="preserve">It may therefore be clearer if the IDP </w:t>
      </w:r>
      <w:r w:rsidR="002B6784">
        <w:t xml:space="preserve">stated that AWS’s role is as wastewater service provider. </w:t>
      </w:r>
    </w:p>
    <w:p w14:paraId="29249F9A" w14:textId="0CDD2DFC" w:rsidR="00A71E44" w:rsidRPr="001F35C9" w:rsidRDefault="001F35C9" w:rsidP="00A71E44">
      <w:pPr>
        <w:jc w:val="both"/>
        <w:rPr>
          <w:b/>
          <w:bCs/>
        </w:rPr>
      </w:pPr>
      <w:r w:rsidRPr="001F35C9">
        <w:rPr>
          <w:b/>
          <w:bCs/>
        </w:rPr>
        <w:t>7.</w:t>
      </w:r>
      <w:r w:rsidR="00A71E44" w:rsidRPr="001F35C9">
        <w:rPr>
          <w:b/>
          <w:bCs/>
        </w:rPr>
        <w:t xml:space="preserve"> </w:t>
      </w:r>
      <w:r w:rsidR="00A71E44" w:rsidRPr="001F35C9">
        <w:tab/>
      </w:r>
      <w:r w:rsidR="00A71E44" w:rsidRPr="001F35C9">
        <w:rPr>
          <w:b/>
          <w:bCs/>
        </w:rPr>
        <w:t xml:space="preserve">Conclusion </w:t>
      </w:r>
    </w:p>
    <w:p w14:paraId="41176865" w14:textId="499685F5" w:rsidR="00A71E44" w:rsidRPr="000B0C4B" w:rsidRDefault="00A71E44" w:rsidP="00A71E44">
      <w:pPr>
        <w:jc w:val="both"/>
      </w:pPr>
      <w:r w:rsidRPr="000B0C4B">
        <w:t xml:space="preserve">AWS submits this </w:t>
      </w:r>
      <w:r w:rsidR="001F35C9" w:rsidRPr="000B0C4B">
        <w:t xml:space="preserve">Regulation 19 </w:t>
      </w:r>
      <w:r w:rsidRPr="000B0C4B">
        <w:t xml:space="preserve">representation with the intention that it enables joint work with </w:t>
      </w:r>
      <w:r w:rsidR="001F35C9" w:rsidRPr="000B0C4B">
        <w:t xml:space="preserve">HDC </w:t>
      </w:r>
      <w:r w:rsidR="00CC3C1E" w:rsidRPr="000B0C4B">
        <w:t xml:space="preserve">to support the </w:t>
      </w:r>
      <w:r w:rsidRPr="000B0C4B">
        <w:t>Local Plan’s Examination</w:t>
      </w:r>
      <w:r w:rsidR="00CC3C1E" w:rsidRPr="000B0C4B">
        <w:t xml:space="preserve"> and </w:t>
      </w:r>
      <w:r w:rsidR="002A6215" w:rsidRPr="000B0C4B">
        <w:t xml:space="preserve">minor </w:t>
      </w:r>
      <w:r w:rsidRPr="000B0C4B">
        <w:t>Modifications</w:t>
      </w:r>
      <w:r w:rsidR="002A6215" w:rsidRPr="000B0C4B">
        <w:t xml:space="preserve"> to supporting text. </w:t>
      </w:r>
      <w:r w:rsidRPr="000B0C4B">
        <w:t xml:space="preserve"> We recognise at this stage of the Plan that some evidential gaps may only be possible to be resolved when a new Plan is progressed which considers the uplift in housing need proposed by Government in </w:t>
      </w:r>
      <w:r w:rsidR="002A6215" w:rsidRPr="000B0C4B">
        <w:t xml:space="preserve">December </w:t>
      </w:r>
      <w:r w:rsidRPr="000B0C4B">
        <w:t xml:space="preserve">2024. That evidence base should include an Integrated Water Management Study, an updated SFRA using </w:t>
      </w:r>
      <w:r w:rsidR="002A6215" w:rsidRPr="000B0C4B">
        <w:t xml:space="preserve">now </w:t>
      </w:r>
      <w:r w:rsidRPr="000B0C4B">
        <w:t>published EA modelling and Whole Life Carbon Assessment. AWS supports the draft Plan</w:t>
      </w:r>
      <w:r w:rsidR="006F00E2" w:rsidRPr="000B0C4B">
        <w:t>,</w:t>
      </w:r>
      <w:r w:rsidRPr="000B0C4B">
        <w:t xml:space="preserve"> considers its spatial approach is deliverable</w:t>
      </w:r>
      <w:r w:rsidR="006F00E2" w:rsidRPr="000B0C4B">
        <w:t xml:space="preserve"> and its policy approach sound. </w:t>
      </w:r>
    </w:p>
    <w:p w14:paraId="3A0CC355" w14:textId="77777777" w:rsidR="00A71E44" w:rsidRPr="00A71E44" w:rsidRDefault="00A71E44" w:rsidP="00A71E44">
      <w:pPr>
        <w:jc w:val="both"/>
        <w:rPr>
          <w:color w:val="4C94D8" w:themeColor="text2" w:themeTint="80"/>
        </w:rPr>
      </w:pPr>
    </w:p>
    <w:p w14:paraId="417773C9" w14:textId="6AB7ECA3" w:rsidR="00A71E44" w:rsidRPr="00A71E44" w:rsidRDefault="00A71E44" w:rsidP="00A71E44">
      <w:pPr>
        <w:jc w:val="both"/>
        <w:rPr>
          <w:color w:val="4C94D8" w:themeColor="text2" w:themeTint="80"/>
        </w:rPr>
      </w:pPr>
      <w:r w:rsidRPr="00A71E44">
        <w:rPr>
          <w:color w:val="4C94D8" w:themeColor="text2" w:themeTint="80"/>
        </w:rPr>
        <w:t xml:space="preserve"> </w:t>
      </w:r>
    </w:p>
    <w:sectPr w:rsidR="00A71E44" w:rsidRPr="00A71E4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40E4" w14:textId="77777777" w:rsidR="000B0C4B" w:rsidRDefault="000B0C4B" w:rsidP="000B0C4B">
      <w:pPr>
        <w:spacing w:after="0" w:line="240" w:lineRule="auto"/>
      </w:pPr>
      <w:r>
        <w:separator/>
      </w:r>
    </w:p>
  </w:endnote>
  <w:endnote w:type="continuationSeparator" w:id="0">
    <w:p w14:paraId="19863BE0" w14:textId="77777777" w:rsidR="000B0C4B" w:rsidRDefault="000B0C4B" w:rsidP="000B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982779"/>
      <w:docPartObj>
        <w:docPartGallery w:val="Page Numbers (Bottom of Page)"/>
        <w:docPartUnique/>
      </w:docPartObj>
    </w:sdtPr>
    <w:sdtContent>
      <w:p w14:paraId="729D65BD" w14:textId="77777777" w:rsidR="000B0C4B" w:rsidRDefault="000B0C4B">
        <w:pPr>
          <w:pStyle w:val="Footer"/>
          <w:jc w:val="center"/>
        </w:pPr>
      </w:p>
      <w:p w14:paraId="335D4CBC" w14:textId="6B59E46F" w:rsidR="000B0C4B" w:rsidRDefault="000B0C4B">
        <w:pPr>
          <w:pStyle w:val="Footer"/>
          <w:jc w:val="center"/>
        </w:pPr>
        <w:r>
          <w:fldChar w:fldCharType="begin"/>
        </w:r>
        <w:r>
          <w:instrText>PAGE   \* MERGEFORMAT</w:instrText>
        </w:r>
        <w:r>
          <w:fldChar w:fldCharType="separate"/>
        </w:r>
        <w:r>
          <w:t>2</w:t>
        </w:r>
        <w:r>
          <w:fldChar w:fldCharType="end"/>
        </w:r>
      </w:p>
    </w:sdtContent>
  </w:sdt>
  <w:p w14:paraId="760A275F" w14:textId="77777777" w:rsidR="000B0C4B" w:rsidRDefault="000B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0645" w14:textId="77777777" w:rsidR="000B0C4B" w:rsidRDefault="000B0C4B" w:rsidP="000B0C4B">
      <w:pPr>
        <w:spacing w:after="0" w:line="240" w:lineRule="auto"/>
      </w:pPr>
      <w:r>
        <w:separator/>
      </w:r>
    </w:p>
  </w:footnote>
  <w:footnote w:type="continuationSeparator" w:id="0">
    <w:p w14:paraId="17E0DFD4" w14:textId="77777777" w:rsidR="000B0C4B" w:rsidRDefault="000B0C4B" w:rsidP="000B0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2BA"/>
    <w:multiLevelType w:val="hybridMultilevel"/>
    <w:tmpl w:val="3E6ACF64"/>
    <w:lvl w:ilvl="0" w:tplc="08090005">
      <w:start w:val="1"/>
      <w:numFmt w:val="bullet"/>
      <w:lvlText w:val=""/>
      <w:lvlJc w:val="left"/>
      <w:pPr>
        <w:ind w:left="1160" w:hanging="360"/>
      </w:pPr>
      <w:rPr>
        <w:rFonts w:ascii="Wingdings" w:hAnsi="Wingdings"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 w15:restartNumberingAfterBreak="0">
    <w:nsid w:val="066B6A00"/>
    <w:multiLevelType w:val="hybridMultilevel"/>
    <w:tmpl w:val="C43A8948"/>
    <w:lvl w:ilvl="0" w:tplc="0809000D">
      <w:start w:val="1"/>
      <w:numFmt w:val="bullet"/>
      <w:lvlText w:val=""/>
      <w:lvlJc w:val="left"/>
      <w:pPr>
        <w:ind w:left="760" w:hanging="360"/>
      </w:pPr>
      <w:rPr>
        <w:rFonts w:ascii="Wingdings" w:hAnsi="Wingdings"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12515F35"/>
    <w:multiLevelType w:val="hybridMultilevel"/>
    <w:tmpl w:val="3A46DC88"/>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0C312C9"/>
    <w:multiLevelType w:val="hybridMultilevel"/>
    <w:tmpl w:val="018C9558"/>
    <w:lvl w:ilvl="0" w:tplc="AAD67F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96D20"/>
    <w:multiLevelType w:val="hybridMultilevel"/>
    <w:tmpl w:val="3850BCBC"/>
    <w:lvl w:ilvl="0" w:tplc="406AAB0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1834C"/>
    <w:multiLevelType w:val="hybridMultilevel"/>
    <w:tmpl w:val="234A1EBE"/>
    <w:lvl w:ilvl="0" w:tplc="E912E8F6">
      <w:start w:val="1"/>
      <w:numFmt w:val="bullet"/>
      <w:lvlText w:val=""/>
      <w:lvlJc w:val="left"/>
      <w:pPr>
        <w:ind w:left="720" w:hanging="360"/>
      </w:pPr>
      <w:rPr>
        <w:rFonts w:ascii="Symbol" w:hAnsi="Symbol" w:hint="default"/>
      </w:rPr>
    </w:lvl>
    <w:lvl w:ilvl="1" w:tplc="C418440C">
      <w:start w:val="1"/>
      <w:numFmt w:val="bullet"/>
      <w:lvlText w:val="o"/>
      <w:lvlJc w:val="left"/>
      <w:pPr>
        <w:ind w:left="1440" w:hanging="360"/>
      </w:pPr>
      <w:rPr>
        <w:rFonts w:ascii="Courier New" w:hAnsi="Courier New" w:hint="default"/>
      </w:rPr>
    </w:lvl>
    <w:lvl w:ilvl="2" w:tplc="F8EE6E24">
      <w:start w:val="1"/>
      <w:numFmt w:val="bullet"/>
      <w:lvlText w:val=""/>
      <w:lvlJc w:val="left"/>
      <w:pPr>
        <w:ind w:left="2160" w:hanging="360"/>
      </w:pPr>
      <w:rPr>
        <w:rFonts w:ascii="Wingdings" w:hAnsi="Wingdings" w:hint="default"/>
      </w:rPr>
    </w:lvl>
    <w:lvl w:ilvl="3" w:tplc="BD445438">
      <w:start w:val="1"/>
      <w:numFmt w:val="bullet"/>
      <w:lvlText w:val=""/>
      <w:lvlJc w:val="left"/>
      <w:pPr>
        <w:ind w:left="2880" w:hanging="360"/>
      </w:pPr>
      <w:rPr>
        <w:rFonts w:ascii="Symbol" w:hAnsi="Symbol" w:hint="default"/>
      </w:rPr>
    </w:lvl>
    <w:lvl w:ilvl="4" w:tplc="80CE06CC">
      <w:start w:val="1"/>
      <w:numFmt w:val="bullet"/>
      <w:lvlText w:val="o"/>
      <w:lvlJc w:val="left"/>
      <w:pPr>
        <w:ind w:left="3600" w:hanging="360"/>
      </w:pPr>
      <w:rPr>
        <w:rFonts w:ascii="Courier New" w:hAnsi="Courier New" w:hint="default"/>
      </w:rPr>
    </w:lvl>
    <w:lvl w:ilvl="5" w:tplc="1E24A276">
      <w:start w:val="1"/>
      <w:numFmt w:val="bullet"/>
      <w:lvlText w:val=""/>
      <w:lvlJc w:val="left"/>
      <w:pPr>
        <w:ind w:left="4320" w:hanging="360"/>
      </w:pPr>
      <w:rPr>
        <w:rFonts w:ascii="Wingdings" w:hAnsi="Wingdings" w:hint="default"/>
      </w:rPr>
    </w:lvl>
    <w:lvl w:ilvl="6" w:tplc="FC7E1FAC">
      <w:start w:val="1"/>
      <w:numFmt w:val="bullet"/>
      <w:lvlText w:val=""/>
      <w:lvlJc w:val="left"/>
      <w:pPr>
        <w:ind w:left="5040" w:hanging="360"/>
      </w:pPr>
      <w:rPr>
        <w:rFonts w:ascii="Symbol" w:hAnsi="Symbol" w:hint="default"/>
      </w:rPr>
    </w:lvl>
    <w:lvl w:ilvl="7" w:tplc="81EE0094">
      <w:start w:val="1"/>
      <w:numFmt w:val="bullet"/>
      <w:lvlText w:val="o"/>
      <w:lvlJc w:val="left"/>
      <w:pPr>
        <w:ind w:left="5760" w:hanging="360"/>
      </w:pPr>
      <w:rPr>
        <w:rFonts w:ascii="Courier New" w:hAnsi="Courier New" w:hint="default"/>
      </w:rPr>
    </w:lvl>
    <w:lvl w:ilvl="8" w:tplc="ACFA760C">
      <w:start w:val="1"/>
      <w:numFmt w:val="bullet"/>
      <w:lvlText w:val=""/>
      <w:lvlJc w:val="left"/>
      <w:pPr>
        <w:ind w:left="6480" w:hanging="360"/>
      </w:pPr>
      <w:rPr>
        <w:rFonts w:ascii="Wingdings" w:hAnsi="Wingdings" w:hint="default"/>
      </w:rPr>
    </w:lvl>
  </w:abstractNum>
  <w:abstractNum w:abstractNumId="6" w15:restartNumberingAfterBreak="0">
    <w:nsid w:val="2B727E59"/>
    <w:multiLevelType w:val="hybridMultilevel"/>
    <w:tmpl w:val="A688222C"/>
    <w:lvl w:ilvl="0" w:tplc="78E0C47E">
      <w:start w:val="1"/>
      <w:numFmt w:val="bullet"/>
      <w:lvlText w:val=""/>
      <w:lvlJc w:val="left"/>
      <w:pPr>
        <w:ind w:left="720" w:hanging="360"/>
      </w:pPr>
      <w:rPr>
        <w:rFonts w:ascii="Symbol" w:hAnsi="Symbol" w:hint="default"/>
      </w:rPr>
    </w:lvl>
    <w:lvl w:ilvl="1" w:tplc="8B00EAAC">
      <w:start w:val="1"/>
      <w:numFmt w:val="bullet"/>
      <w:lvlText w:val="o"/>
      <w:lvlJc w:val="left"/>
      <w:pPr>
        <w:ind w:left="1440" w:hanging="360"/>
      </w:pPr>
      <w:rPr>
        <w:rFonts w:ascii="Courier New" w:hAnsi="Courier New" w:hint="default"/>
      </w:rPr>
    </w:lvl>
    <w:lvl w:ilvl="2" w:tplc="542A4B62">
      <w:start w:val="1"/>
      <w:numFmt w:val="bullet"/>
      <w:lvlText w:val=""/>
      <w:lvlJc w:val="left"/>
      <w:pPr>
        <w:ind w:left="2160" w:hanging="360"/>
      </w:pPr>
      <w:rPr>
        <w:rFonts w:ascii="Wingdings" w:hAnsi="Wingdings" w:hint="default"/>
      </w:rPr>
    </w:lvl>
    <w:lvl w:ilvl="3" w:tplc="7048EEE6">
      <w:start w:val="1"/>
      <w:numFmt w:val="bullet"/>
      <w:lvlText w:val=""/>
      <w:lvlJc w:val="left"/>
      <w:pPr>
        <w:ind w:left="2880" w:hanging="360"/>
      </w:pPr>
      <w:rPr>
        <w:rFonts w:ascii="Symbol" w:hAnsi="Symbol" w:hint="default"/>
      </w:rPr>
    </w:lvl>
    <w:lvl w:ilvl="4" w:tplc="9A90EEDA">
      <w:start w:val="1"/>
      <w:numFmt w:val="bullet"/>
      <w:lvlText w:val="o"/>
      <w:lvlJc w:val="left"/>
      <w:pPr>
        <w:ind w:left="3600" w:hanging="360"/>
      </w:pPr>
      <w:rPr>
        <w:rFonts w:ascii="Courier New" w:hAnsi="Courier New" w:hint="default"/>
      </w:rPr>
    </w:lvl>
    <w:lvl w:ilvl="5" w:tplc="B3B23722">
      <w:start w:val="1"/>
      <w:numFmt w:val="bullet"/>
      <w:lvlText w:val=""/>
      <w:lvlJc w:val="left"/>
      <w:pPr>
        <w:ind w:left="4320" w:hanging="360"/>
      </w:pPr>
      <w:rPr>
        <w:rFonts w:ascii="Wingdings" w:hAnsi="Wingdings" w:hint="default"/>
      </w:rPr>
    </w:lvl>
    <w:lvl w:ilvl="6" w:tplc="7B6C5DC2">
      <w:start w:val="1"/>
      <w:numFmt w:val="bullet"/>
      <w:lvlText w:val=""/>
      <w:lvlJc w:val="left"/>
      <w:pPr>
        <w:ind w:left="5040" w:hanging="360"/>
      </w:pPr>
      <w:rPr>
        <w:rFonts w:ascii="Symbol" w:hAnsi="Symbol" w:hint="default"/>
      </w:rPr>
    </w:lvl>
    <w:lvl w:ilvl="7" w:tplc="678244AA">
      <w:start w:val="1"/>
      <w:numFmt w:val="bullet"/>
      <w:lvlText w:val="o"/>
      <w:lvlJc w:val="left"/>
      <w:pPr>
        <w:ind w:left="5760" w:hanging="360"/>
      </w:pPr>
      <w:rPr>
        <w:rFonts w:ascii="Courier New" w:hAnsi="Courier New" w:hint="default"/>
      </w:rPr>
    </w:lvl>
    <w:lvl w:ilvl="8" w:tplc="A5AC52BC">
      <w:start w:val="1"/>
      <w:numFmt w:val="bullet"/>
      <w:lvlText w:val=""/>
      <w:lvlJc w:val="left"/>
      <w:pPr>
        <w:ind w:left="6480" w:hanging="360"/>
      </w:pPr>
      <w:rPr>
        <w:rFonts w:ascii="Wingdings" w:hAnsi="Wingdings" w:hint="default"/>
      </w:rPr>
    </w:lvl>
  </w:abstractNum>
  <w:abstractNum w:abstractNumId="7" w15:restartNumberingAfterBreak="0">
    <w:nsid w:val="31D607D5"/>
    <w:multiLevelType w:val="hybridMultilevel"/>
    <w:tmpl w:val="72106660"/>
    <w:lvl w:ilvl="0" w:tplc="D3C6DEA2">
      <w:start w:val="1"/>
      <w:numFmt w:val="bullet"/>
      <w:lvlText w:val=""/>
      <w:lvlJc w:val="left"/>
      <w:pPr>
        <w:ind w:left="720" w:hanging="360"/>
      </w:pPr>
      <w:rPr>
        <w:rFonts w:ascii="Symbol" w:hAnsi="Symbol" w:hint="default"/>
      </w:rPr>
    </w:lvl>
    <w:lvl w:ilvl="1" w:tplc="88FC9842">
      <w:start w:val="1"/>
      <w:numFmt w:val="bullet"/>
      <w:lvlText w:val="o"/>
      <w:lvlJc w:val="left"/>
      <w:pPr>
        <w:ind w:left="1440" w:hanging="360"/>
      </w:pPr>
      <w:rPr>
        <w:rFonts w:ascii="Courier New" w:hAnsi="Courier New" w:hint="default"/>
      </w:rPr>
    </w:lvl>
    <w:lvl w:ilvl="2" w:tplc="A936E810">
      <w:start w:val="1"/>
      <w:numFmt w:val="bullet"/>
      <w:lvlText w:val=""/>
      <w:lvlJc w:val="left"/>
      <w:pPr>
        <w:ind w:left="2160" w:hanging="360"/>
      </w:pPr>
      <w:rPr>
        <w:rFonts w:ascii="Wingdings" w:hAnsi="Wingdings" w:hint="default"/>
      </w:rPr>
    </w:lvl>
    <w:lvl w:ilvl="3" w:tplc="6B16ABF8">
      <w:start w:val="1"/>
      <w:numFmt w:val="bullet"/>
      <w:lvlText w:val=""/>
      <w:lvlJc w:val="left"/>
      <w:pPr>
        <w:ind w:left="2880" w:hanging="360"/>
      </w:pPr>
      <w:rPr>
        <w:rFonts w:ascii="Symbol" w:hAnsi="Symbol" w:hint="default"/>
      </w:rPr>
    </w:lvl>
    <w:lvl w:ilvl="4" w:tplc="C2F0FF7E">
      <w:start w:val="1"/>
      <w:numFmt w:val="bullet"/>
      <w:lvlText w:val="o"/>
      <w:lvlJc w:val="left"/>
      <w:pPr>
        <w:ind w:left="3600" w:hanging="360"/>
      </w:pPr>
      <w:rPr>
        <w:rFonts w:ascii="Courier New" w:hAnsi="Courier New" w:hint="default"/>
      </w:rPr>
    </w:lvl>
    <w:lvl w:ilvl="5" w:tplc="12F6E20E">
      <w:start w:val="1"/>
      <w:numFmt w:val="bullet"/>
      <w:lvlText w:val=""/>
      <w:lvlJc w:val="left"/>
      <w:pPr>
        <w:ind w:left="4320" w:hanging="360"/>
      </w:pPr>
      <w:rPr>
        <w:rFonts w:ascii="Wingdings" w:hAnsi="Wingdings" w:hint="default"/>
      </w:rPr>
    </w:lvl>
    <w:lvl w:ilvl="6" w:tplc="F6EEAAD4">
      <w:start w:val="1"/>
      <w:numFmt w:val="bullet"/>
      <w:lvlText w:val=""/>
      <w:lvlJc w:val="left"/>
      <w:pPr>
        <w:ind w:left="5040" w:hanging="360"/>
      </w:pPr>
      <w:rPr>
        <w:rFonts w:ascii="Symbol" w:hAnsi="Symbol" w:hint="default"/>
      </w:rPr>
    </w:lvl>
    <w:lvl w:ilvl="7" w:tplc="358CC358">
      <w:start w:val="1"/>
      <w:numFmt w:val="bullet"/>
      <w:lvlText w:val="o"/>
      <w:lvlJc w:val="left"/>
      <w:pPr>
        <w:ind w:left="5760" w:hanging="360"/>
      </w:pPr>
      <w:rPr>
        <w:rFonts w:ascii="Courier New" w:hAnsi="Courier New" w:hint="default"/>
      </w:rPr>
    </w:lvl>
    <w:lvl w:ilvl="8" w:tplc="8EB66EE4">
      <w:start w:val="1"/>
      <w:numFmt w:val="bullet"/>
      <w:lvlText w:val=""/>
      <w:lvlJc w:val="left"/>
      <w:pPr>
        <w:ind w:left="6480" w:hanging="360"/>
      </w:pPr>
      <w:rPr>
        <w:rFonts w:ascii="Wingdings" w:hAnsi="Wingdings" w:hint="default"/>
      </w:rPr>
    </w:lvl>
  </w:abstractNum>
  <w:abstractNum w:abstractNumId="8" w15:restartNumberingAfterBreak="0">
    <w:nsid w:val="38D53112"/>
    <w:multiLevelType w:val="hybridMultilevel"/>
    <w:tmpl w:val="25941B70"/>
    <w:lvl w:ilvl="0" w:tplc="E87A10F8">
      <w:start w:val="1"/>
      <w:numFmt w:val="bullet"/>
      <w:lvlText w:val=""/>
      <w:lvlJc w:val="left"/>
      <w:pPr>
        <w:ind w:left="720" w:hanging="360"/>
      </w:pPr>
      <w:rPr>
        <w:rFonts w:ascii="Symbol" w:hAnsi="Symbol" w:hint="default"/>
      </w:rPr>
    </w:lvl>
    <w:lvl w:ilvl="1" w:tplc="77FC8EE0">
      <w:start w:val="1"/>
      <w:numFmt w:val="bullet"/>
      <w:lvlText w:val="o"/>
      <w:lvlJc w:val="left"/>
      <w:pPr>
        <w:ind w:left="1440" w:hanging="360"/>
      </w:pPr>
      <w:rPr>
        <w:rFonts w:ascii="Courier New" w:hAnsi="Courier New" w:hint="default"/>
      </w:rPr>
    </w:lvl>
    <w:lvl w:ilvl="2" w:tplc="A37400A2">
      <w:start w:val="1"/>
      <w:numFmt w:val="bullet"/>
      <w:lvlText w:val=""/>
      <w:lvlJc w:val="left"/>
      <w:pPr>
        <w:ind w:left="2160" w:hanging="360"/>
      </w:pPr>
      <w:rPr>
        <w:rFonts w:ascii="Wingdings" w:hAnsi="Wingdings" w:hint="default"/>
      </w:rPr>
    </w:lvl>
    <w:lvl w:ilvl="3" w:tplc="7DDA81EE">
      <w:start w:val="1"/>
      <w:numFmt w:val="bullet"/>
      <w:lvlText w:val=""/>
      <w:lvlJc w:val="left"/>
      <w:pPr>
        <w:ind w:left="2880" w:hanging="360"/>
      </w:pPr>
      <w:rPr>
        <w:rFonts w:ascii="Symbol" w:hAnsi="Symbol" w:hint="default"/>
      </w:rPr>
    </w:lvl>
    <w:lvl w:ilvl="4" w:tplc="00729672">
      <w:start w:val="1"/>
      <w:numFmt w:val="bullet"/>
      <w:lvlText w:val="o"/>
      <w:lvlJc w:val="left"/>
      <w:pPr>
        <w:ind w:left="3600" w:hanging="360"/>
      </w:pPr>
      <w:rPr>
        <w:rFonts w:ascii="Courier New" w:hAnsi="Courier New" w:hint="default"/>
      </w:rPr>
    </w:lvl>
    <w:lvl w:ilvl="5" w:tplc="3752A0FC">
      <w:start w:val="1"/>
      <w:numFmt w:val="bullet"/>
      <w:lvlText w:val=""/>
      <w:lvlJc w:val="left"/>
      <w:pPr>
        <w:ind w:left="4320" w:hanging="360"/>
      </w:pPr>
      <w:rPr>
        <w:rFonts w:ascii="Wingdings" w:hAnsi="Wingdings" w:hint="default"/>
      </w:rPr>
    </w:lvl>
    <w:lvl w:ilvl="6" w:tplc="88B8939A">
      <w:start w:val="1"/>
      <w:numFmt w:val="bullet"/>
      <w:lvlText w:val=""/>
      <w:lvlJc w:val="left"/>
      <w:pPr>
        <w:ind w:left="5040" w:hanging="360"/>
      </w:pPr>
      <w:rPr>
        <w:rFonts w:ascii="Symbol" w:hAnsi="Symbol" w:hint="default"/>
      </w:rPr>
    </w:lvl>
    <w:lvl w:ilvl="7" w:tplc="0AA83368">
      <w:start w:val="1"/>
      <w:numFmt w:val="bullet"/>
      <w:lvlText w:val="o"/>
      <w:lvlJc w:val="left"/>
      <w:pPr>
        <w:ind w:left="5760" w:hanging="360"/>
      </w:pPr>
      <w:rPr>
        <w:rFonts w:ascii="Courier New" w:hAnsi="Courier New" w:hint="default"/>
      </w:rPr>
    </w:lvl>
    <w:lvl w:ilvl="8" w:tplc="7200C3F8">
      <w:start w:val="1"/>
      <w:numFmt w:val="bullet"/>
      <w:lvlText w:val=""/>
      <w:lvlJc w:val="left"/>
      <w:pPr>
        <w:ind w:left="6480" w:hanging="360"/>
      </w:pPr>
      <w:rPr>
        <w:rFonts w:ascii="Wingdings" w:hAnsi="Wingdings" w:hint="default"/>
      </w:rPr>
    </w:lvl>
  </w:abstractNum>
  <w:abstractNum w:abstractNumId="9" w15:restartNumberingAfterBreak="0">
    <w:nsid w:val="39291094"/>
    <w:multiLevelType w:val="hybridMultilevel"/>
    <w:tmpl w:val="3C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3A6AE0"/>
    <w:multiLevelType w:val="hybridMultilevel"/>
    <w:tmpl w:val="3EA498FE"/>
    <w:lvl w:ilvl="0" w:tplc="B108F7D8">
      <w:start w:val="1"/>
      <w:numFmt w:val="bullet"/>
      <w:lvlText w:val=""/>
      <w:lvlJc w:val="left"/>
      <w:pPr>
        <w:ind w:left="720" w:hanging="360"/>
      </w:pPr>
      <w:rPr>
        <w:rFonts w:ascii="Symbol" w:hAnsi="Symbol" w:hint="default"/>
      </w:rPr>
    </w:lvl>
    <w:lvl w:ilvl="1" w:tplc="9E72EB1E">
      <w:start w:val="1"/>
      <w:numFmt w:val="bullet"/>
      <w:lvlText w:val="o"/>
      <w:lvlJc w:val="left"/>
      <w:pPr>
        <w:ind w:left="1440" w:hanging="360"/>
      </w:pPr>
      <w:rPr>
        <w:rFonts w:ascii="Courier New" w:hAnsi="Courier New" w:hint="default"/>
      </w:rPr>
    </w:lvl>
    <w:lvl w:ilvl="2" w:tplc="94006ADE">
      <w:start w:val="1"/>
      <w:numFmt w:val="bullet"/>
      <w:lvlText w:val=""/>
      <w:lvlJc w:val="left"/>
      <w:pPr>
        <w:ind w:left="2160" w:hanging="360"/>
      </w:pPr>
      <w:rPr>
        <w:rFonts w:ascii="Wingdings" w:hAnsi="Wingdings" w:hint="default"/>
      </w:rPr>
    </w:lvl>
    <w:lvl w:ilvl="3" w:tplc="22AEDC52">
      <w:start w:val="1"/>
      <w:numFmt w:val="bullet"/>
      <w:lvlText w:val=""/>
      <w:lvlJc w:val="left"/>
      <w:pPr>
        <w:ind w:left="2880" w:hanging="360"/>
      </w:pPr>
      <w:rPr>
        <w:rFonts w:ascii="Symbol" w:hAnsi="Symbol" w:hint="default"/>
      </w:rPr>
    </w:lvl>
    <w:lvl w:ilvl="4" w:tplc="CBA2B852">
      <w:start w:val="1"/>
      <w:numFmt w:val="bullet"/>
      <w:lvlText w:val="o"/>
      <w:lvlJc w:val="left"/>
      <w:pPr>
        <w:ind w:left="3600" w:hanging="360"/>
      </w:pPr>
      <w:rPr>
        <w:rFonts w:ascii="Courier New" w:hAnsi="Courier New" w:hint="default"/>
      </w:rPr>
    </w:lvl>
    <w:lvl w:ilvl="5" w:tplc="AD9E0E32">
      <w:start w:val="1"/>
      <w:numFmt w:val="bullet"/>
      <w:lvlText w:val=""/>
      <w:lvlJc w:val="left"/>
      <w:pPr>
        <w:ind w:left="4320" w:hanging="360"/>
      </w:pPr>
      <w:rPr>
        <w:rFonts w:ascii="Wingdings" w:hAnsi="Wingdings" w:hint="default"/>
      </w:rPr>
    </w:lvl>
    <w:lvl w:ilvl="6" w:tplc="F4B8C710">
      <w:start w:val="1"/>
      <w:numFmt w:val="bullet"/>
      <w:lvlText w:val=""/>
      <w:lvlJc w:val="left"/>
      <w:pPr>
        <w:ind w:left="5040" w:hanging="360"/>
      </w:pPr>
      <w:rPr>
        <w:rFonts w:ascii="Symbol" w:hAnsi="Symbol" w:hint="default"/>
      </w:rPr>
    </w:lvl>
    <w:lvl w:ilvl="7" w:tplc="52783BF4">
      <w:start w:val="1"/>
      <w:numFmt w:val="bullet"/>
      <w:lvlText w:val="o"/>
      <w:lvlJc w:val="left"/>
      <w:pPr>
        <w:ind w:left="5760" w:hanging="360"/>
      </w:pPr>
      <w:rPr>
        <w:rFonts w:ascii="Courier New" w:hAnsi="Courier New" w:hint="default"/>
      </w:rPr>
    </w:lvl>
    <w:lvl w:ilvl="8" w:tplc="7A00CC70">
      <w:start w:val="1"/>
      <w:numFmt w:val="bullet"/>
      <w:lvlText w:val=""/>
      <w:lvlJc w:val="left"/>
      <w:pPr>
        <w:ind w:left="6480" w:hanging="360"/>
      </w:pPr>
      <w:rPr>
        <w:rFonts w:ascii="Wingdings" w:hAnsi="Wingdings" w:hint="default"/>
      </w:rPr>
    </w:lvl>
  </w:abstractNum>
  <w:abstractNum w:abstractNumId="11" w15:restartNumberingAfterBreak="0">
    <w:nsid w:val="5BF932A5"/>
    <w:multiLevelType w:val="hybridMultilevel"/>
    <w:tmpl w:val="C9F0A27C"/>
    <w:lvl w:ilvl="0" w:tplc="F766ACC0">
      <w:start w:val="1"/>
      <w:numFmt w:val="bullet"/>
      <w:lvlText w:val=""/>
      <w:lvlJc w:val="left"/>
      <w:pPr>
        <w:ind w:left="720" w:hanging="360"/>
      </w:pPr>
      <w:rPr>
        <w:rFonts w:ascii="Symbol" w:hAnsi="Symbol" w:hint="default"/>
      </w:rPr>
    </w:lvl>
    <w:lvl w:ilvl="1" w:tplc="CEA2B3BC">
      <w:start w:val="1"/>
      <w:numFmt w:val="bullet"/>
      <w:lvlText w:val="o"/>
      <w:lvlJc w:val="left"/>
      <w:pPr>
        <w:ind w:left="1440" w:hanging="360"/>
      </w:pPr>
      <w:rPr>
        <w:rFonts w:ascii="Courier New" w:hAnsi="Courier New" w:hint="default"/>
      </w:rPr>
    </w:lvl>
    <w:lvl w:ilvl="2" w:tplc="BC3A6C4A">
      <w:start w:val="1"/>
      <w:numFmt w:val="bullet"/>
      <w:lvlText w:val=""/>
      <w:lvlJc w:val="left"/>
      <w:pPr>
        <w:ind w:left="2160" w:hanging="360"/>
      </w:pPr>
      <w:rPr>
        <w:rFonts w:ascii="Wingdings" w:hAnsi="Wingdings" w:hint="default"/>
      </w:rPr>
    </w:lvl>
    <w:lvl w:ilvl="3" w:tplc="DB7E10BE">
      <w:start w:val="1"/>
      <w:numFmt w:val="bullet"/>
      <w:lvlText w:val=""/>
      <w:lvlJc w:val="left"/>
      <w:pPr>
        <w:ind w:left="2880" w:hanging="360"/>
      </w:pPr>
      <w:rPr>
        <w:rFonts w:ascii="Symbol" w:hAnsi="Symbol" w:hint="default"/>
      </w:rPr>
    </w:lvl>
    <w:lvl w:ilvl="4" w:tplc="A5146D1A">
      <w:start w:val="1"/>
      <w:numFmt w:val="bullet"/>
      <w:lvlText w:val="o"/>
      <w:lvlJc w:val="left"/>
      <w:pPr>
        <w:ind w:left="3600" w:hanging="360"/>
      </w:pPr>
      <w:rPr>
        <w:rFonts w:ascii="Courier New" w:hAnsi="Courier New" w:hint="default"/>
      </w:rPr>
    </w:lvl>
    <w:lvl w:ilvl="5" w:tplc="0BBA1D80">
      <w:start w:val="1"/>
      <w:numFmt w:val="bullet"/>
      <w:lvlText w:val=""/>
      <w:lvlJc w:val="left"/>
      <w:pPr>
        <w:ind w:left="4320" w:hanging="360"/>
      </w:pPr>
      <w:rPr>
        <w:rFonts w:ascii="Wingdings" w:hAnsi="Wingdings" w:hint="default"/>
      </w:rPr>
    </w:lvl>
    <w:lvl w:ilvl="6" w:tplc="29A2761A">
      <w:start w:val="1"/>
      <w:numFmt w:val="bullet"/>
      <w:lvlText w:val=""/>
      <w:lvlJc w:val="left"/>
      <w:pPr>
        <w:ind w:left="5040" w:hanging="360"/>
      </w:pPr>
      <w:rPr>
        <w:rFonts w:ascii="Symbol" w:hAnsi="Symbol" w:hint="default"/>
      </w:rPr>
    </w:lvl>
    <w:lvl w:ilvl="7" w:tplc="4ED22908">
      <w:start w:val="1"/>
      <w:numFmt w:val="bullet"/>
      <w:lvlText w:val="o"/>
      <w:lvlJc w:val="left"/>
      <w:pPr>
        <w:ind w:left="5760" w:hanging="360"/>
      </w:pPr>
      <w:rPr>
        <w:rFonts w:ascii="Courier New" w:hAnsi="Courier New" w:hint="default"/>
      </w:rPr>
    </w:lvl>
    <w:lvl w:ilvl="8" w:tplc="8B5A8D12">
      <w:start w:val="1"/>
      <w:numFmt w:val="bullet"/>
      <w:lvlText w:val=""/>
      <w:lvlJc w:val="left"/>
      <w:pPr>
        <w:ind w:left="6480" w:hanging="360"/>
      </w:pPr>
      <w:rPr>
        <w:rFonts w:ascii="Wingdings" w:hAnsi="Wingdings" w:hint="default"/>
      </w:rPr>
    </w:lvl>
  </w:abstractNum>
  <w:abstractNum w:abstractNumId="12" w15:restartNumberingAfterBreak="0">
    <w:nsid w:val="5C5C7D2B"/>
    <w:multiLevelType w:val="hybridMultilevel"/>
    <w:tmpl w:val="47D0701E"/>
    <w:lvl w:ilvl="0" w:tplc="64A202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AA2D82"/>
    <w:multiLevelType w:val="hybridMultilevel"/>
    <w:tmpl w:val="2E50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402CD"/>
    <w:multiLevelType w:val="hybridMultilevel"/>
    <w:tmpl w:val="46A2341A"/>
    <w:lvl w:ilvl="0" w:tplc="19788C8C">
      <w:start w:val="1"/>
      <w:numFmt w:val="bullet"/>
      <w:lvlText w:val=""/>
      <w:lvlJc w:val="left"/>
      <w:pPr>
        <w:ind w:left="720" w:hanging="360"/>
      </w:pPr>
      <w:rPr>
        <w:rFonts w:ascii="Symbol" w:hAnsi="Symbol" w:hint="default"/>
      </w:rPr>
    </w:lvl>
    <w:lvl w:ilvl="1" w:tplc="41D26BF6">
      <w:start w:val="1"/>
      <w:numFmt w:val="bullet"/>
      <w:lvlText w:val="o"/>
      <w:lvlJc w:val="left"/>
      <w:pPr>
        <w:ind w:left="1440" w:hanging="360"/>
      </w:pPr>
      <w:rPr>
        <w:rFonts w:ascii="Courier New" w:hAnsi="Courier New" w:hint="default"/>
      </w:rPr>
    </w:lvl>
    <w:lvl w:ilvl="2" w:tplc="42B22A24">
      <w:start w:val="1"/>
      <w:numFmt w:val="bullet"/>
      <w:lvlText w:val=""/>
      <w:lvlJc w:val="left"/>
      <w:pPr>
        <w:ind w:left="2160" w:hanging="360"/>
      </w:pPr>
      <w:rPr>
        <w:rFonts w:ascii="Wingdings" w:hAnsi="Wingdings" w:hint="default"/>
      </w:rPr>
    </w:lvl>
    <w:lvl w:ilvl="3" w:tplc="0D3AE52A">
      <w:start w:val="1"/>
      <w:numFmt w:val="bullet"/>
      <w:lvlText w:val=""/>
      <w:lvlJc w:val="left"/>
      <w:pPr>
        <w:ind w:left="2880" w:hanging="360"/>
      </w:pPr>
      <w:rPr>
        <w:rFonts w:ascii="Symbol" w:hAnsi="Symbol" w:hint="default"/>
      </w:rPr>
    </w:lvl>
    <w:lvl w:ilvl="4" w:tplc="FA702550">
      <w:start w:val="1"/>
      <w:numFmt w:val="bullet"/>
      <w:lvlText w:val="o"/>
      <w:lvlJc w:val="left"/>
      <w:pPr>
        <w:ind w:left="3600" w:hanging="360"/>
      </w:pPr>
      <w:rPr>
        <w:rFonts w:ascii="Courier New" w:hAnsi="Courier New" w:hint="default"/>
      </w:rPr>
    </w:lvl>
    <w:lvl w:ilvl="5" w:tplc="B1E4E84E">
      <w:start w:val="1"/>
      <w:numFmt w:val="bullet"/>
      <w:lvlText w:val=""/>
      <w:lvlJc w:val="left"/>
      <w:pPr>
        <w:ind w:left="4320" w:hanging="360"/>
      </w:pPr>
      <w:rPr>
        <w:rFonts w:ascii="Wingdings" w:hAnsi="Wingdings" w:hint="default"/>
      </w:rPr>
    </w:lvl>
    <w:lvl w:ilvl="6" w:tplc="8C7AA602">
      <w:start w:val="1"/>
      <w:numFmt w:val="bullet"/>
      <w:lvlText w:val=""/>
      <w:lvlJc w:val="left"/>
      <w:pPr>
        <w:ind w:left="5040" w:hanging="360"/>
      </w:pPr>
      <w:rPr>
        <w:rFonts w:ascii="Symbol" w:hAnsi="Symbol" w:hint="default"/>
      </w:rPr>
    </w:lvl>
    <w:lvl w:ilvl="7" w:tplc="38F0D33C">
      <w:start w:val="1"/>
      <w:numFmt w:val="bullet"/>
      <w:lvlText w:val="o"/>
      <w:lvlJc w:val="left"/>
      <w:pPr>
        <w:ind w:left="5760" w:hanging="360"/>
      </w:pPr>
      <w:rPr>
        <w:rFonts w:ascii="Courier New" w:hAnsi="Courier New" w:hint="default"/>
      </w:rPr>
    </w:lvl>
    <w:lvl w:ilvl="8" w:tplc="573C2042">
      <w:start w:val="1"/>
      <w:numFmt w:val="bullet"/>
      <w:lvlText w:val=""/>
      <w:lvlJc w:val="left"/>
      <w:pPr>
        <w:ind w:left="6480" w:hanging="360"/>
      </w:pPr>
      <w:rPr>
        <w:rFonts w:ascii="Wingdings" w:hAnsi="Wingdings" w:hint="default"/>
      </w:rPr>
    </w:lvl>
  </w:abstractNum>
  <w:num w:numId="1" w16cid:durableId="663048611">
    <w:abstractNumId w:val="7"/>
  </w:num>
  <w:num w:numId="2" w16cid:durableId="1388188967">
    <w:abstractNumId w:val="14"/>
  </w:num>
  <w:num w:numId="3" w16cid:durableId="519123165">
    <w:abstractNumId w:val="5"/>
  </w:num>
  <w:num w:numId="4" w16cid:durableId="1766344867">
    <w:abstractNumId w:val="8"/>
  </w:num>
  <w:num w:numId="5" w16cid:durableId="1032026176">
    <w:abstractNumId w:val="6"/>
  </w:num>
  <w:num w:numId="6" w16cid:durableId="1414545271">
    <w:abstractNumId w:val="11"/>
  </w:num>
  <w:num w:numId="7" w16cid:durableId="561674005">
    <w:abstractNumId w:val="10"/>
  </w:num>
  <w:num w:numId="8" w16cid:durableId="1407268111">
    <w:abstractNumId w:val="9"/>
  </w:num>
  <w:num w:numId="9" w16cid:durableId="405420556">
    <w:abstractNumId w:val="4"/>
  </w:num>
  <w:num w:numId="10" w16cid:durableId="727993643">
    <w:abstractNumId w:val="12"/>
  </w:num>
  <w:num w:numId="11" w16cid:durableId="469589999">
    <w:abstractNumId w:val="2"/>
  </w:num>
  <w:num w:numId="12" w16cid:durableId="1879245416">
    <w:abstractNumId w:val="1"/>
  </w:num>
  <w:num w:numId="13" w16cid:durableId="1630621484">
    <w:abstractNumId w:val="0"/>
  </w:num>
  <w:num w:numId="14" w16cid:durableId="564025064">
    <w:abstractNumId w:val="13"/>
  </w:num>
  <w:num w:numId="15" w16cid:durableId="186790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44"/>
    <w:rsid w:val="00000240"/>
    <w:rsid w:val="0000173D"/>
    <w:rsid w:val="00002E8F"/>
    <w:rsid w:val="00004539"/>
    <w:rsid w:val="000069C2"/>
    <w:rsid w:val="00010178"/>
    <w:rsid w:val="00015CED"/>
    <w:rsid w:val="00023DE1"/>
    <w:rsid w:val="00027BB7"/>
    <w:rsid w:val="00037427"/>
    <w:rsid w:val="00041661"/>
    <w:rsid w:val="00054477"/>
    <w:rsid w:val="000605D9"/>
    <w:rsid w:val="00063846"/>
    <w:rsid w:val="0007023F"/>
    <w:rsid w:val="00070E12"/>
    <w:rsid w:val="000735FE"/>
    <w:rsid w:val="00073A46"/>
    <w:rsid w:val="0008511F"/>
    <w:rsid w:val="00094F60"/>
    <w:rsid w:val="0009577A"/>
    <w:rsid w:val="000A4416"/>
    <w:rsid w:val="000B0C4B"/>
    <w:rsid w:val="000B0CAC"/>
    <w:rsid w:val="000B1374"/>
    <w:rsid w:val="000B329B"/>
    <w:rsid w:val="000D1C14"/>
    <w:rsid w:val="000D3EE7"/>
    <w:rsid w:val="000D6B15"/>
    <w:rsid w:val="000D7B25"/>
    <w:rsid w:val="000E131D"/>
    <w:rsid w:val="000E4591"/>
    <w:rsid w:val="000E677A"/>
    <w:rsid w:val="000E7440"/>
    <w:rsid w:val="000F341F"/>
    <w:rsid w:val="000F358A"/>
    <w:rsid w:val="000F4AC8"/>
    <w:rsid w:val="000F57A5"/>
    <w:rsid w:val="000F6320"/>
    <w:rsid w:val="000F7227"/>
    <w:rsid w:val="001066FF"/>
    <w:rsid w:val="001068EE"/>
    <w:rsid w:val="00113E18"/>
    <w:rsid w:val="001208CD"/>
    <w:rsid w:val="00124917"/>
    <w:rsid w:val="001314A4"/>
    <w:rsid w:val="00133A8F"/>
    <w:rsid w:val="00143570"/>
    <w:rsid w:val="00147A4E"/>
    <w:rsid w:val="00153A78"/>
    <w:rsid w:val="0015521D"/>
    <w:rsid w:val="00156AF5"/>
    <w:rsid w:val="0016530E"/>
    <w:rsid w:val="00174DC8"/>
    <w:rsid w:val="001836B4"/>
    <w:rsid w:val="00190401"/>
    <w:rsid w:val="0019323D"/>
    <w:rsid w:val="00195760"/>
    <w:rsid w:val="001969F9"/>
    <w:rsid w:val="001A0259"/>
    <w:rsid w:val="001A16CB"/>
    <w:rsid w:val="001A1CC3"/>
    <w:rsid w:val="001B0092"/>
    <w:rsid w:val="001B7BDE"/>
    <w:rsid w:val="001C1928"/>
    <w:rsid w:val="001D0D7A"/>
    <w:rsid w:val="001D3945"/>
    <w:rsid w:val="001D450A"/>
    <w:rsid w:val="001D54B1"/>
    <w:rsid w:val="001F35C9"/>
    <w:rsid w:val="001F6783"/>
    <w:rsid w:val="001F6C90"/>
    <w:rsid w:val="0020209C"/>
    <w:rsid w:val="0020545A"/>
    <w:rsid w:val="002136D9"/>
    <w:rsid w:val="0021470E"/>
    <w:rsid w:val="002203A2"/>
    <w:rsid w:val="002229D0"/>
    <w:rsid w:val="00223AA1"/>
    <w:rsid w:val="002307B7"/>
    <w:rsid w:val="002356FD"/>
    <w:rsid w:val="00241917"/>
    <w:rsid w:val="0024425E"/>
    <w:rsid w:val="00244C23"/>
    <w:rsid w:val="00250398"/>
    <w:rsid w:val="00252E09"/>
    <w:rsid w:val="00255D82"/>
    <w:rsid w:val="00256BB8"/>
    <w:rsid w:val="00260A0F"/>
    <w:rsid w:val="00261A43"/>
    <w:rsid w:val="002649FC"/>
    <w:rsid w:val="0027464F"/>
    <w:rsid w:val="00275D0B"/>
    <w:rsid w:val="00281CE4"/>
    <w:rsid w:val="002836C3"/>
    <w:rsid w:val="00294EDB"/>
    <w:rsid w:val="00295741"/>
    <w:rsid w:val="00296C91"/>
    <w:rsid w:val="002A0A90"/>
    <w:rsid w:val="002A1B64"/>
    <w:rsid w:val="002A498D"/>
    <w:rsid w:val="002A5EFD"/>
    <w:rsid w:val="002A6215"/>
    <w:rsid w:val="002B3905"/>
    <w:rsid w:val="002B3F31"/>
    <w:rsid w:val="002B6784"/>
    <w:rsid w:val="002C27FD"/>
    <w:rsid w:val="002C2D9D"/>
    <w:rsid w:val="002C37D9"/>
    <w:rsid w:val="002D1E8E"/>
    <w:rsid w:val="002E1761"/>
    <w:rsid w:val="002E34D6"/>
    <w:rsid w:val="002E4FBB"/>
    <w:rsid w:val="002E73F5"/>
    <w:rsid w:val="002F0921"/>
    <w:rsid w:val="002F14D1"/>
    <w:rsid w:val="002F4C3F"/>
    <w:rsid w:val="002F4EC8"/>
    <w:rsid w:val="002F6E04"/>
    <w:rsid w:val="00303DB2"/>
    <w:rsid w:val="00305C8C"/>
    <w:rsid w:val="00310961"/>
    <w:rsid w:val="00314FC1"/>
    <w:rsid w:val="0032147B"/>
    <w:rsid w:val="0032707A"/>
    <w:rsid w:val="00346FF0"/>
    <w:rsid w:val="003514AE"/>
    <w:rsid w:val="00351F4D"/>
    <w:rsid w:val="003530F9"/>
    <w:rsid w:val="00353395"/>
    <w:rsid w:val="00354268"/>
    <w:rsid w:val="0035639B"/>
    <w:rsid w:val="00371B00"/>
    <w:rsid w:val="00376F91"/>
    <w:rsid w:val="0038561C"/>
    <w:rsid w:val="00395A88"/>
    <w:rsid w:val="003A12E1"/>
    <w:rsid w:val="003B17CD"/>
    <w:rsid w:val="003B2944"/>
    <w:rsid w:val="003B401E"/>
    <w:rsid w:val="003C4189"/>
    <w:rsid w:val="003C7D70"/>
    <w:rsid w:val="003D2399"/>
    <w:rsid w:val="003E5B29"/>
    <w:rsid w:val="003F48A4"/>
    <w:rsid w:val="004031EB"/>
    <w:rsid w:val="00407BF2"/>
    <w:rsid w:val="004159E2"/>
    <w:rsid w:val="00417F0F"/>
    <w:rsid w:val="00423E73"/>
    <w:rsid w:val="00425E75"/>
    <w:rsid w:val="00430FD6"/>
    <w:rsid w:val="004318AF"/>
    <w:rsid w:val="00433068"/>
    <w:rsid w:val="00437E01"/>
    <w:rsid w:val="0044077D"/>
    <w:rsid w:val="00440DB5"/>
    <w:rsid w:val="00453568"/>
    <w:rsid w:val="00455613"/>
    <w:rsid w:val="004558F8"/>
    <w:rsid w:val="00461F7C"/>
    <w:rsid w:val="0047125E"/>
    <w:rsid w:val="004732AD"/>
    <w:rsid w:val="004733FF"/>
    <w:rsid w:val="00477D92"/>
    <w:rsid w:val="00482FF7"/>
    <w:rsid w:val="00490DFE"/>
    <w:rsid w:val="0049188E"/>
    <w:rsid w:val="00491B20"/>
    <w:rsid w:val="00497621"/>
    <w:rsid w:val="004A22CC"/>
    <w:rsid w:val="004A4163"/>
    <w:rsid w:val="004B1611"/>
    <w:rsid w:val="004B1855"/>
    <w:rsid w:val="004B650A"/>
    <w:rsid w:val="004B706E"/>
    <w:rsid w:val="004B7E1F"/>
    <w:rsid w:val="004C0298"/>
    <w:rsid w:val="004C02C4"/>
    <w:rsid w:val="004C5B7F"/>
    <w:rsid w:val="004C5D78"/>
    <w:rsid w:val="004D7B1C"/>
    <w:rsid w:val="004E4FBF"/>
    <w:rsid w:val="004F6BA5"/>
    <w:rsid w:val="005001FB"/>
    <w:rsid w:val="00500570"/>
    <w:rsid w:val="0050395B"/>
    <w:rsid w:val="0050707F"/>
    <w:rsid w:val="00507B2A"/>
    <w:rsid w:val="00514FF3"/>
    <w:rsid w:val="00520D82"/>
    <w:rsid w:val="00521554"/>
    <w:rsid w:val="005233DF"/>
    <w:rsid w:val="005340C6"/>
    <w:rsid w:val="00537056"/>
    <w:rsid w:val="00537C14"/>
    <w:rsid w:val="00537FF1"/>
    <w:rsid w:val="00542BA8"/>
    <w:rsid w:val="0054531C"/>
    <w:rsid w:val="00546558"/>
    <w:rsid w:val="005465C0"/>
    <w:rsid w:val="00547AC3"/>
    <w:rsid w:val="0056379E"/>
    <w:rsid w:val="005678D2"/>
    <w:rsid w:val="005701BA"/>
    <w:rsid w:val="00571669"/>
    <w:rsid w:val="00576EFE"/>
    <w:rsid w:val="005828BA"/>
    <w:rsid w:val="00585BEB"/>
    <w:rsid w:val="00596823"/>
    <w:rsid w:val="00597327"/>
    <w:rsid w:val="005A57CD"/>
    <w:rsid w:val="005B0561"/>
    <w:rsid w:val="005B2D98"/>
    <w:rsid w:val="005B727D"/>
    <w:rsid w:val="005D308C"/>
    <w:rsid w:val="005D340B"/>
    <w:rsid w:val="005D4383"/>
    <w:rsid w:val="005D4786"/>
    <w:rsid w:val="005D6FE5"/>
    <w:rsid w:val="005E1C55"/>
    <w:rsid w:val="005E45D1"/>
    <w:rsid w:val="005E68CC"/>
    <w:rsid w:val="005E790F"/>
    <w:rsid w:val="005E7F9D"/>
    <w:rsid w:val="005F1DAA"/>
    <w:rsid w:val="005F592B"/>
    <w:rsid w:val="005F7393"/>
    <w:rsid w:val="005F7859"/>
    <w:rsid w:val="00602C62"/>
    <w:rsid w:val="00607775"/>
    <w:rsid w:val="00624D9D"/>
    <w:rsid w:val="00627441"/>
    <w:rsid w:val="0062769E"/>
    <w:rsid w:val="0063071E"/>
    <w:rsid w:val="00631F2D"/>
    <w:rsid w:val="00633C64"/>
    <w:rsid w:val="00641D1A"/>
    <w:rsid w:val="00643A29"/>
    <w:rsid w:val="00646F21"/>
    <w:rsid w:val="006472E3"/>
    <w:rsid w:val="00647432"/>
    <w:rsid w:val="006474F0"/>
    <w:rsid w:val="0066172F"/>
    <w:rsid w:val="006657A6"/>
    <w:rsid w:val="00673A7E"/>
    <w:rsid w:val="00677D3E"/>
    <w:rsid w:val="00677EA2"/>
    <w:rsid w:val="00685EC9"/>
    <w:rsid w:val="00690443"/>
    <w:rsid w:val="006935C8"/>
    <w:rsid w:val="006A41F5"/>
    <w:rsid w:val="006A431B"/>
    <w:rsid w:val="006A5809"/>
    <w:rsid w:val="006B6849"/>
    <w:rsid w:val="006C1343"/>
    <w:rsid w:val="006C14A5"/>
    <w:rsid w:val="006C2B95"/>
    <w:rsid w:val="006C6EC3"/>
    <w:rsid w:val="006C71B2"/>
    <w:rsid w:val="006C7275"/>
    <w:rsid w:val="006D5AE5"/>
    <w:rsid w:val="006E3BBA"/>
    <w:rsid w:val="006E56F2"/>
    <w:rsid w:val="006E79EB"/>
    <w:rsid w:val="006F00E2"/>
    <w:rsid w:val="006F209E"/>
    <w:rsid w:val="006F2200"/>
    <w:rsid w:val="007031D6"/>
    <w:rsid w:val="00703544"/>
    <w:rsid w:val="00717183"/>
    <w:rsid w:val="00727CD8"/>
    <w:rsid w:val="00733A47"/>
    <w:rsid w:val="007409DB"/>
    <w:rsid w:val="00744BF3"/>
    <w:rsid w:val="00745242"/>
    <w:rsid w:val="00746103"/>
    <w:rsid w:val="00747278"/>
    <w:rsid w:val="007478FD"/>
    <w:rsid w:val="00753191"/>
    <w:rsid w:val="00763A3E"/>
    <w:rsid w:val="00764B74"/>
    <w:rsid w:val="00764EF4"/>
    <w:rsid w:val="007651CC"/>
    <w:rsid w:val="00766ABC"/>
    <w:rsid w:val="00773DA4"/>
    <w:rsid w:val="00777E8E"/>
    <w:rsid w:val="0078136E"/>
    <w:rsid w:val="00781635"/>
    <w:rsid w:val="00783FDD"/>
    <w:rsid w:val="00791BAC"/>
    <w:rsid w:val="00791D51"/>
    <w:rsid w:val="007928B8"/>
    <w:rsid w:val="00793EE5"/>
    <w:rsid w:val="00794F88"/>
    <w:rsid w:val="007975DE"/>
    <w:rsid w:val="007A0994"/>
    <w:rsid w:val="007A41DD"/>
    <w:rsid w:val="007A789E"/>
    <w:rsid w:val="007A7CBE"/>
    <w:rsid w:val="007B4B1E"/>
    <w:rsid w:val="007C2E1A"/>
    <w:rsid w:val="007D7F33"/>
    <w:rsid w:val="007E0A70"/>
    <w:rsid w:val="007E3B37"/>
    <w:rsid w:val="007F00E2"/>
    <w:rsid w:val="007F2FF0"/>
    <w:rsid w:val="007F5358"/>
    <w:rsid w:val="007F5586"/>
    <w:rsid w:val="008023E1"/>
    <w:rsid w:val="0080693F"/>
    <w:rsid w:val="00820A8F"/>
    <w:rsid w:val="00822AC1"/>
    <w:rsid w:val="008233EC"/>
    <w:rsid w:val="00824260"/>
    <w:rsid w:val="00832716"/>
    <w:rsid w:val="008334E6"/>
    <w:rsid w:val="008464D5"/>
    <w:rsid w:val="00850CC4"/>
    <w:rsid w:val="0085578C"/>
    <w:rsid w:val="00857CC0"/>
    <w:rsid w:val="00863F31"/>
    <w:rsid w:val="008664EE"/>
    <w:rsid w:val="00871BB9"/>
    <w:rsid w:val="00873BC4"/>
    <w:rsid w:val="00874845"/>
    <w:rsid w:val="008857AA"/>
    <w:rsid w:val="00885FDB"/>
    <w:rsid w:val="00887C24"/>
    <w:rsid w:val="0089268A"/>
    <w:rsid w:val="008A4995"/>
    <w:rsid w:val="008A4B88"/>
    <w:rsid w:val="008A5121"/>
    <w:rsid w:val="008A526D"/>
    <w:rsid w:val="008B1C2C"/>
    <w:rsid w:val="008B45AE"/>
    <w:rsid w:val="008B6521"/>
    <w:rsid w:val="008B7CE2"/>
    <w:rsid w:val="008C2A0A"/>
    <w:rsid w:val="008D219B"/>
    <w:rsid w:val="008D4211"/>
    <w:rsid w:val="008D65F9"/>
    <w:rsid w:val="008E0D2A"/>
    <w:rsid w:val="008E3DB3"/>
    <w:rsid w:val="008F1E43"/>
    <w:rsid w:val="008F5338"/>
    <w:rsid w:val="008F7801"/>
    <w:rsid w:val="009069B7"/>
    <w:rsid w:val="00911011"/>
    <w:rsid w:val="00914CCC"/>
    <w:rsid w:val="009156FD"/>
    <w:rsid w:val="00916104"/>
    <w:rsid w:val="00917CFF"/>
    <w:rsid w:val="009214E0"/>
    <w:rsid w:val="00922810"/>
    <w:rsid w:val="0092554E"/>
    <w:rsid w:val="00931FBA"/>
    <w:rsid w:val="00934CD2"/>
    <w:rsid w:val="009374E3"/>
    <w:rsid w:val="009400A4"/>
    <w:rsid w:val="00941196"/>
    <w:rsid w:val="00961C49"/>
    <w:rsid w:val="00962679"/>
    <w:rsid w:val="00970321"/>
    <w:rsid w:val="009718EA"/>
    <w:rsid w:val="00974176"/>
    <w:rsid w:val="00974C1D"/>
    <w:rsid w:val="00977EC2"/>
    <w:rsid w:val="009820BF"/>
    <w:rsid w:val="009847E3"/>
    <w:rsid w:val="0098671F"/>
    <w:rsid w:val="00993251"/>
    <w:rsid w:val="009A01FD"/>
    <w:rsid w:val="009A1A14"/>
    <w:rsid w:val="009B0060"/>
    <w:rsid w:val="009B3FA1"/>
    <w:rsid w:val="009B67CF"/>
    <w:rsid w:val="009B73FB"/>
    <w:rsid w:val="009C1E64"/>
    <w:rsid w:val="009C21A5"/>
    <w:rsid w:val="009C500B"/>
    <w:rsid w:val="009D0627"/>
    <w:rsid w:val="009D52B9"/>
    <w:rsid w:val="009F130C"/>
    <w:rsid w:val="009F1C7C"/>
    <w:rsid w:val="009F337C"/>
    <w:rsid w:val="009F54DE"/>
    <w:rsid w:val="009F6ACC"/>
    <w:rsid w:val="00A0318E"/>
    <w:rsid w:val="00A11F9E"/>
    <w:rsid w:val="00A135CF"/>
    <w:rsid w:val="00A13631"/>
    <w:rsid w:val="00A13F46"/>
    <w:rsid w:val="00A1441D"/>
    <w:rsid w:val="00A149AA"/>
    <w:rsid w:val="00A15B06"/>
    <w:rsid w:val="00A217E4"/>
    <w:rsid w:val="00A24DAF"/>
    <w:rsid w:val="00A324B0"/>
    <w:rsid w:val="00A4294D"/>
    <w:rsid w:val="00A46326"/>
    <w:rsid w:val="00A50CD3"/>
    <w:rsid w:val="00A51CF5"/>
    <w:rsid w:val="00A520C9"/>
    <w:rsid w:val="00A60FAA"/>
    <w:rsid w:val="00A61428"/>
    <w:rsid w:val="00A61BC9"/>
    <w:rsid w:val="00A666DA"/>
    <w:rsid w:val="00A67707"/>
    <w:rsid w:val="00A71E44"/>
    <w:rsid w:val="00A7515E"/>
    <w:rsid w:val="00A760CA"/>
    <w:rsid w:val="00A80896"/>
    <w:rsid w:val="00A905BF"/>
    <w:rsid w:val="00A93186"/>
    <w:rsid w:val="00A937F2"/>
    <w:rsid w:val="00A94265"/>
    <w:rsid w:val="00A97B2E"/>
    <w:rsid w:val="00AA01ED"/>
    <w:rsid w:val="00AA6170"/>
    <w:rsid w:val="00AA6476"/>
    <w:rsid w:val="00AC46F2"/>
    <w:rsid w:val="00AC69CE"/>
    <w:rsid w:val="00AD2CC3"/>
    <w:rsid w:val="00AD65A8"/>
    <w:rsid w:val="00AE2C64"/>
    <w:rsid w:val="00AE54DD"/>
    <w:rsid w:val="00AE6DD3"/>
    <w:rsid w:val="00AF0458"/>
    <w:rsid w:val="00AF1731"/>
    <w:rsid w:val="00AF36A7"/>
    <w:rsid w:val="00B01236"/>
    <w:rsid w:val="00B03AD5"/>
    <w:rsid w:val="00B0501C"/>
    <w:rsid w:val="00B119B4"/>
    <w:rsid w:val="00B12374"/>
    <w:rsid w:val="00B21221"/>
    <w:rsid w:val="00B25093"/>
    <w:rsid w:val="00B26770"/>
    <w:rsid w:val="00B26A7A"/>
    <w:rsid w:val="00B26FEE"/>
    <w:rsid w:val="00B27298"/>
    <w:rsid w:val="00B314CA"/>
    <w:rsid w:val="00B32477"/>
    <w:rsid w:val="00B35DA4"/>
    <w:rsid w:val="00B42341"/>
    <w:rsid w:val="00B4394C"/>
    <w:rsid w:val="00B44E2D"/>
    <w:rsid w:val="00B50351"/>
    <w:rsid w:val="00B54D23"/>
    <w:rsid w:val="00B54EDB"/>
    <w:rsid w:val="00B61C42"/>
    <w:rsid w:val="00B61F57"/>
    <w:rsid w:val="00B64465"/>
    <w:rsid w:val="00B64E3F"/>
    <w:rsid w:val="00B6616F"/>
    <w:rsid w:val="00B73794"/>
    <w:rsid w:val="00B74581"/>
    <w:rsid w:val="00B749AE"/>
    <w:rsid w:val="00B84229"/>
    <w:rsid w:val="00B857FD"/>
    <w:rsid w:val="00B90023"/>
    <w:rsid w:val="00B912C2"/>
    <w:rsid w:val="00B95744"/>
    <w:rsid w:val="00B9686A"/>
    <w:rsid w:val="00BA0D48"/>
    <w:rsid w:val="00BA4D54"/>
    <w:rsid w:val="00BA7B15"/>
    <w:rsid w:val="00BB11B8"/>
    <w:rsid w:val="00BB56BA"/>
    <w:rsid w:val="00BC314A"/>
    <w:rsid w:val="00BC44B6"/>
    <w:rsid w:val="00BC6D23"/>
    <w:rsid w:val="00BD7A67"/>
    <w:rsid w:val="00BF3E33"/>
    <w:rsid w:val="00BF633E"/>
    <w:rsid w:val="00C01DBD"/>
    <w:rsid w:val="00C06F35"/>
    <w:rsid w:val="00C10419"/>
    <w:rsid w:val="00C12D8E"/>
    <w:rsid w:val="00C15048"/>
    <w:rsid w:val="00C1687C"/>
    <w:rsid w:val="00C21DD8"/>
    <w:rsid w:val="00C2587D"/>
    <w:rsid w:val="00C262B8"/>
    <w:rsid w:val="00C26FC9"/>
    <w:rsid w:val="00C30C3E"/>
    <w:rsid w:val="00C44A4C"/>
    <w:rsid w:val="00C6772E"/>
    <w:rsid w:val="00C67DC5"/>
    <w:rsid w:val="00C71404"/>
    <w:rsid w:val="00C720AF"/>
    <w:rsid w:val="00C7344E"/>
    <w:rsid w:val="00C74E19"/>
    <w:rsid w:val="00C751CF"/>
    <w:rsid w:val="00C82830"/>
    <w:rsid w:val="00C93F36"/>
    <w:rsid w:val="00C9416F"/>
    <w:rsid w:val="00C97919"/>
    <w:rsid w:val="00CA0709"/>
    <w:rsid w:val="00CA171A"/>
    <w:rsid w:val="00CA2395"/>
    <w:rsid w:val="00CA5F21"/>
    <w:rsid w:val="00CA7838"/>
    <w:rsid w:val="00CB0CD8"/>
    <w:rsid w:val="00CB4725"/>
    <w:rsid w:val="00CC3C1E"/>
    <w:rsid w:val="00CC6937"/>
    <w:rsid w:val="00CD10C1"/>
    <w:rsid w:val="00CD3A29"/>
    <w:rsid w:val="00CD7424"/>
    <w:rsid w:val="00CE0537"/>
    <w:rsid w:val="00CE480F"/>
    <w:rsid w:val="00CF4B6F"/>
    <w:rsid w:val="00CF6433"/>
    <w:rsid w:val="00CF67DB"/>
    <w:rsid w:val="00D01325"/>
    <w:rsid w:val="00D06A5D"/>
    <w:rsid w:val="00D124BE"/>
    <w:rsid w:val="00D13376"/>
    <w:rsid w:val="00D16F2D"/>
    <w:rsid w:val="00D23D72"/>
    <w:rsid w:val="00D33077"/>
    <w:rsid w:val="00D43B20"/>
    <w:rsid w:val="00D44B06"/>
    <w:rsid w:val="00D47234"/>
    <w:rsid w:val="00D51025"/>
    <w:rsid w:val="00D51369"/>
    <w:rsid w:val="00D54D76"/>
    <w:rsid w:val="00D62BFF"/>
    <w:rsid w:val="00D8143B"/>
    <w:rsid w:val="00D82E3E"/>
    <w:rsid w:val="00D86D0C"/>
    <w:rsid w:val="00D87B76"/>
    <w:rsid w:val="00D90A93"/>
    <w:rsid w:val="00D9247F"/>
    <w:rsid w:val="00D92D9B"/>
    <w:rsid w:val="00D937EB"/>
    <w:rsid w:val="00D9688F"/>
    <w:rsid w:val="00DA4139"/>
    <w:rsid w:val="00DA4A25"/>
    <w:rsid w:val="00DB2529"/>
    <w:rsid w:val="00DB725E"/>
    <w:rsid w:val="00DC1E89"/>
    <w:rsid w:val="00DC761B"/>
    <w:rsid w:val="00DC7E2C"/>
    <w:rsid w:val="00DD1247"/>
    <w:rsid w:val="00DD2825"/>
    <w:rsid w:val="00DD6F6B"/>
    <w:rsid w:val="00DD74D2"/>
    <w:rsid w:val="00DD75FB"/>
    <w:rsid w:val="00DD79D3"/>
    <w:rsid w:val="00DE5009"/>
    <w:rsid w:val="00DE6E94"/>
    <w:rsid w:val="00DF0132"/>
    <w:rsid w:val="00DF3639"/>
    <w:rsid w:val="00DF3A24"/>
    <w:rsid w:val="00DF52F0"/>
    <w:rsid w:val="00DF63D2"/>
    <w:rsid w:val="00E00ED2"/>
    <w:rsid w:val="00E05BC3"/>
    <w:rsid w:val="00E124B8"/>
    <w:rsid w:val="00E16AA9"/>
    <w:rsid w:val="00E3407C"/>
    <w:rsid w:val="00E34D21"/>
    <w:rsid w:val="00E3594B"/>
    <w:rsid w:val="00E41202"/>
    <w:rsid w:val="00E413FA"/>
    <w:rsid w:val="00E431FA"/>
    <w:rsid w:val="00E46BBE"/>
    <w:rsid w:val="00E51B3E"/>
    <w:rsid w:val="00E52B8B"/>
    <w:rsid w:val="00E563BE"/>
    <w:rsid w:val="00E575AE"/>
    <w:rsid w:val="00E618B0"/>
    <w:rsid w:val="00E70E61"/>
    <w:rsid w:val="00E73CD7"/>
    <w:rsid w:val="00E7627D"/>
    <w:rsid w:val="00E80394"/>
    <w:rsid w:val="00E94B0D"/>
    <w:rsid w:val="00EA0A18"/>
    <w:rsid w:val="00EA0A24"/>
    <w:rsid w:val="00EB5646"/>
    <w:rsid w:val="00EB5FCB"/>
    <w:rsid w:val="00EB7D76"/>
    <w:rsid w:val="00EC14A6"/>
    <w:rsid w:val="00EC653B"/>
    <w:rsid w:val="00ED085E"/>
    <w:rsid w:val="00ED1CD7"/>
    <w:rsid w:val="00EE332A"/>
    <w:rsid w:val="00EE3C44"/>
    <w:rsid w:val="00EE5871"/>
    <w:rsid w:val="00EF0F7A"/>
    <w:rsid w:val="00EF43C6"/>
    <w:rsid w:val="00EF559C"/>
    <w:rsid w:val="00EF78CE"/>
    <w:rsid w:val="00F00DAE"/>
    <w:rsid w:val="00F01FE5"/>
    <w:rsid w:val="00F02007"/>
    <w:rsid w:val="00F0338A"/>
    <w:rsid w:val="00F048A5"/>
    <w:rsid w:val="00F106D7"/>
    <w:rsid w:val="00F213DE"/>
    <w:rsid w:val="00F22908"/>
    <w:rsid w:val="00F22D39"/>
    <w:rsid w:val="00F23E21"/>
    <w:rsid w:val="00F26B04"/>
    <w:rsid w:val="00F27F5B"/>
    <w:rsid w:val="00F3038E"/>
    <w:rsid w:val="00F30AB1"/>
    <w:rsid w:val="00F325A4"/>
    <w:rsid w:val="00F36691"/>
    <w:rsid w:val="00F40510"/>
    <w:rsid w:val="00F4744C"/>
    <w:rsid w:val="00F54242"/>
    <w:rsid w:val="00F80F16"/>
    <w:rsid w:val="00F829A5"/>
    <w:rsid w:val="00F83634"/>
    <w:rsid w:val="00F85847"/>
    <w:rsid w:val="00FA5D51"/>
    <w:rsid w:val="00FA60B3"/>
    <w:rsid w:val="00FB2577"/>
    <w:rsid w:val="00FB325F"/>
    <w:rsid w:val="00FB4534"/>
    <w:rsid w:val="00FC5E8C"/>
    <w:rsid w:val="00FD41FC"/>
    <w:rsid w:val="00FD5F23"/>
    <w:rsid w:val="00FD7ADF"/>
    <w:rsid w:val="00FD7AE3"/>
    <w:rsid w:val="00FE14B2"/>
    <w:rsid w:val="00FE1C70"/>
    <w:rsid w:val="00FE54A2"/>
    <w:rsid w:val="00FF1076"/>
    <w:rsid w:val="00FF578F"/>
    <w:rsid w:val="00FF60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CCBD"/>
  <w15:chartTrackingRefBased/>
  <w15:docId w15:val="{3CAD4030-F70D-4BC0-8CC8-AFE57F47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1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1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1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1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1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1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E44"/>
    <w:rPr>
      <w:rFonts w:eastAsiaTheme="majorEastAsia" w:cstheme="majorBidi"/>
      <w:color w:val="272727" w:themeColor="text1" w:themeTint="D8"/>
    </w:rPr>
  </w:style>
  <w:style w:type="paragraph" w:styleId="Title">
    <w:name w:val="Title"/>
    <w:basedOn w:val="Normal"/>
    <w:next w:val="Normal"/>
    <w:link w:val="TitleChar"/>
    <w:uiPriority w:val="10"/>
    <w:qFormat/>
    <w:rsid w:val="00A71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E44"/>
    <w:pPr>
      <w:spacing w:before="160"/>
      <w:jc w:val="center"/>
    </w:pPr>
    <w:rPr>
      <w:i/>
      <w:iCs/>
      <w:color w:val="404040" w:themeColor="text1" w:themeTint="BF"/>
    </w:rPr>
  </w:style>
  <w:style w:type="character" w:customStyle="1" w:styleId="QuoteChar">
    <w:name w:val="Quote Char"/>
    <w:basedOn w:val="DefaultParagraphFont"/>
    <w:link w:val="Quote"/>
    <w:uiPriority w:val="29"/>
    <w:rsid w:val="00A71E44"/>
    <w:rPr>
      <w:i/>
      <w:iCs/>
      <w:color w:val="404040" w:themeColor="text1" w:themeTint="BF"/>
    </w:rPr>
  </w:style>
  <w:style w:type="paragraph" w:styleId="ListParagraph">
    <w:name w:val="List Paragraph"/>
    <w:basedOn w:val="Normal"/>
    <w:uiPriority w:val="34"/>
    <w:qFormat/>
    <w:rsid w:val="00A71E44"/>
    <w:pPr>
      <w:ind w:left="720"/>
      <w:contextualSpacing/>
    </w:pPr>
  </w:style>
  <w:style w:type="character" w:styleId="IntenseEmphasis">
    <w:name w:val="Intense Emphasis"/>
    <w:basedOn w:val="DefaultParagraphFont"/>
    <w:uiPriority w:val="21"/>
    <w:qFormat/>
    <w:rsid w:val="00A71E44"/>
    <w:rPr>
      <w:i/>
      <w:iCs/>
      <w:color w:val="0F4761" w:themeColor="accent1" w:themeShade="BF"/>
    </w:rPr>
  </w:style>
  <w:style w:type="paragraph" w:styleId="IntenseQuote">
    <w:name w:val="Intense Quote"/>
    <w:basedOn w:val="Normal"/>
    <w:next w:val="Normal"/>
    <w:link w:val="IntenseQuoteChar"/>
    <w:uiPriority w:val="30"/>
    <w:qFormat/>
    <w:rsid w:val="00A71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E44"/>
    <w:rPr>
      <w:i/>
      <w:iCs/>
      <w:color w:val="0F4761" w:themeColor="accent1" w:themeShade="BF"/>
    </w:rPr>
  </w:style>
  <w:style w:type="character" w:styleId="IntenseReference">
    <w:name w:val="Intense Reference"/>
    <w:basedOn w:val="DefaultParagraphFont"/>
    <w:uiPriority w:val="32"/>
    <w:qFormat/>
    <w:rsid w:val="00A71E44"/>
    <w:rPr>
      <w:b/>
      <w:bCs/>
      <w:smallCaps/>
      <w:color w:val="0F4761" w:themeColor="accent1" w:themeShade="BF"/>
      <w:spacing w:val="5"/>
    </w:rPr>
  </w:style>
  <w:style w:type="paragraph" w:styleId="Header">
    <w:name w:val="header"/>
    <w:basedOn w:val="Normal"/>
    <w:link w:val="HeaderChar"/>
    <w:uiPriority w:val="99"/>
    <w:unhideWhenUsed/>
    <w:rsid w:val="00A71E44"/>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A71E44"/>
    <w:rPr>
      <w:kern w:val="0"/>
      <w14:ligatures w14:val="none"/>
    </w:rPr>
  </w:style>
  <w:style w:type="paragraph" w:styleId="Footer">
    <w:name w:val="footer"/>
    <w:basedOn w:val="Normal"/>
    <w:link w:val="FooterChar"/>
    <w:uiPriority w:val="99"/>
    <w:unhideWhenUsed/>
    <w:rsid w:val="00A71E44"/>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A71E44"/>
    <w:rPr>
      <w:kern w:val="0"/>
      <w14:ligatures w14:val="none"/>
    </w:rPr>
  </w:style>
  <w:style w:type="paragraph" w:styleId="NormalWeb">
    <w:name w:val="Normal (Web)"/>
    <w:basedOn w:val="Normal"/>
    <w:uiPriority w:val="99"/>
    <w:semiHidden/>
    <w:unhideWhenUsed/>
    <w:rsid w:val="00A71E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71E44"/>
  </w:style>
  <w:style w:type="character" w:styleId="Hyperlink">
    <w:name w:val="Hyperlink"/>
    <w:basedOn w:val="DefaultParagraphFont"/>
    <w:uiPriority w:val="99"/>
    <w:unhideWhenUsed/>
    <w:rsid w:val="00A71E44"/>
    <w:rPr>
      <w:color w:val="467886" w:themeColor="hyperlink"/>
      <w:u w:val="single"/>
    </w:rPr>
  </w:style>
  <w:style w:type="character" w:styleId="UnresolvedMention">
    <w:name w:val="Unresolved Mention"/>
    <w:basedOn w:val="DefaultParagraphFont"/>
    <w:uiPriority w:val="99"/>
    <w:semiHidden/>
    <w:unhideWhenUsed/>
    <w:rsid w:val="00A71E44"/>
    <w:rPr>
      <w:color w:val="605E5C"/>
      <w:shd w:val="clear" w:color="auto" w:fill="E1DFDD"/>
    </w:rPr>
  </w:style>
  <w:style w:type="character" w:customStyle="1" w:styleId="ui-provider">
    <w:name w:val="ui-provider"/>
    <w:basedOn w:val="DefaultParagraphFont"/>
    <w:rsid w:val="00A71E44"/>
  </w:style>
  <w:style w:type="table" w:styleId="TableGrid">
    <w:name w:val="Table Grid"/>
    <w:basedOn w:val="TableNormal"/>
    <w:uiPriority w:val="39"/>
    <w:rsid w:val="00A71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1E44"/>
    <w:rPr>
      <w:sz w:val="16"/>
      <w:szCs w:val="16"/>
    </w:rPr>
  </w:style>
  <w:style w:type="paragraph" w:styleId="CommentText">
    <w:name w:val="annotation text"/>
    <w:basedOn w:val="Normal"/>
    <w:link w:val="CommentTextChar"/>
    <w:uiPriority w:val="99"/>
    <w:unhideWhenUsed/>
    <w:rsid w:val="00A71E4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71E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1E44"/>
    <w:rPr>
      <w:b/>
      <w:bCs/>
    </w:rPr>
  </w:style>
  <w:style w:type="character" w:customStyle="1" w:styleId="CommentSubjectChar">
    <w:name w:val="Comment Subject Char"/>
    <w:basedOn w:val="CommentTextChar"/>
    <w:link w:val="CommentSubject"/>
    <w:uiPriority w:val="99"/>
    <w:semiHidden/>
    <w:rsid w:val="00A71E44"/>
    <w:rPr>
      <w:b/>
      <w:bCs/>
      <w:kern w:val="0"/>
      <w:sz w:val="20"/>
      <w:szCs w:val="20"/>
      <w14:ligatures w14:val="none"/>
    </w:rPr>
  </w:style>
  <w:style w:type="paragraph" w:styleId="Revision">
    <w:name w:val="Revision"/>
    <w:hidden/>
    <w:uiPriority w:val="99"/>
    <w:semiHidden/>
    <w:rsid w:val="00A71E44"/>
    <w:pPr>
      <w:spacing w:after="0" w:line="240" w:lineRule="auto"/>
    </w:pPr>
    <w:rPr>
      <w:kern w:val="0"/>
      <w14:ligatures w14:val="none"/>
    </w:rPr>
  </w:style>
  <w:style w:type="character" w:customStyle="1" w:styleId="cf01">
    <w:name w:val="cf01"/>
    <w:basedOn w:val="DefaultParagraphFont"/>
    <w:rsid w:val="00A71E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9FEA657661A47B1E4BA23E52A90F4" ma:contentTypeVersion="21" ma:contentTypeDescription="Create a new document." ma:contentTypeScope="" ma:versionID="0aab6b5b0a8a077b1014babfa442e5c5">
  <xsd:schema xmlns:xsd="http://www.w3.org/2001/XMLSchema" xmlns:xs="http://www.w3.org/2001/XMLSchema" xmlns:p="http://schemas.microsoft.com/office/2006/metadata/properties" xmlns:ns1="http://schemas.microsoft.com/sharepoint/v3" xmlns:ns2="d8d782ec-4e96-4c48-9ed0-1d5b89ac3b14" xmlns:ns3="5cfc7c98-c842-42bb-bbd7-989666f312ac" xmlns:ns4="75e05205-f2e1-4168-9176-3cea1311c638" targetNamespace="http://schemas.microsoft.com/office/2006/metadata/properties" ma:root="true" ma:fieldsID="37810adc4e0cea91250a35d97a2812b3" ns1:_="" ns2:_="" ns3:_="" ns4:_="">
    <xsd:import namespace="http://schemas.microsoft.com/sharepoint/v3"/>
    <xsd:import namespace="d8d782ec-4e96-4c48-9ed0-1d5b89ac3b14"/>
    <xsd:import namespace="5cfc7c98-c842-42bb-bbd7-989666f312ac"/>
    <xsd:import namespace="75e05205-f2e1-4168-9176-3cea1311c638"/>
    <xsd:element name="properties">
      <xsd:complexType>
        <xsd:sequence>
          <xsd:element name="documentManagement">
            <xsd:complexType>
              <xsd:all>
                <xsd:element ref="ns2:DateandTime"/>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1:_ip_UnifiedCompliancePolicyProperties" minOccurs="0"/>
                <xsd:element ref="ns1:_ip_UnifiedCompliancePolicyUIAction"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782ec-4e96-4c48-9ed0-1d5b89ac3b14" elementFormDefault="qualified">
    <xsd:import namespace="http://schemas.microsoft.com/office/2006/documentManagement/types"/>
    <xsd:import namespace="http://schemas.microsoft.com/office/infopath/2007/PartnerControls"/>
    <xsd:element name="DateandTime" ma:index="8" ma:displayName="Date and Time" ma:format="DateOnly" ma:internalName="DateandTim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0b0734-55aa-48eb-9cc1-796817ec1ede"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c7c98-c842-42bb-bbd7-989666f312a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05205-f2e1-4168-9176-3cea1311c6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04f21a-f16e-492c-a368-92080f10eebe}" ma:internalName="TaxCatchAll" ma:showField="CatchAllData" ma:web="5cfc7c98-c842-42bb-bbd7-989666f31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d8d782ec-4e96-4c48-9ed0-1d5b89ac3b14">2025-03-24T00:00:00+00:00</DateandTime>
    <_ip_UnifiedCompliancePolicyProperties xmlns="http://schemas.microsoft.com/sharepoint/v3" xsi:nil="true"/>
    <lcf76f155ced4ddcb4097134ff3c332f xmlns="d8d782ec-4e96-4c48-9ed0-1d5b89ac3b14">
      <Terms xmlns="http://schemas.microsoft.com/office/infopath/2007/PartnerControls"/>
    </lcf76f155ced4ddcb4097134ff3c332f>
    <TaxCatchAll xmlns="75e05205-f2e1-4168-9176-3cea1311c638" xsi:nil="true"/>
  </documentManagement>
</p:properties>
</file>

<file path=customXml/itemProps1.xml><?xml version="1.0" encoding="utf-8"?>
<ds:datastoreItem xmlns:ds="http://schemas.openxmlformats.org/officeDocument/2006/customXml" ds:itemID="{E4E311B5-ED65-4FF3-B629-52FCBD165742}">
  <ds:schemaRefs>
    <ds:schemaRef ds:uri="http://schemas.microsoft.com/sharepoint/v3/contenttype/forms"/>
  </ds:schemaRefs>
</ds:datastoreItem>
</file>

<file path=customXml/itemProps2.xml><?xml version="1.0" encoding="utf-8"?>
<ds:datastoreItem xmlns:ds="http://schemas.openxmlformats.org/officeDocument/2006/customXml" ds:itemID="{6A0B0C5E-389F-4E52-A0B5-B5493754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d782ec-4e96-4c48-9ed0-1d5b89ac3b14"/>
    <ds:schemaRef ds:uri="5cfc7c98-c842-42bb-bbd7-989666f312ac"/>
    <ds:schemaRef ds:uri="75e05205-f2e1-4168-9176-3cea1311c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4452E-28D7-40E7-869A-6FBDBCB0276D}">
  <ds:schemaRefs>
    <ds:schemaRef ds:uri="http://schemas.microsoft.com/sharepoint/v3"/>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75e05205-f2e1-4168-9176-3cea1311c638"/>
    <ds:schemaRef ds:uri="5cfc7c98-c842-42bb-bbd7-989666f312ac"/>
    <ds:schemaRef ds:uri="d8d782ec-4e96-4c48-9ed0-1d5b89ac3b1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9626</TotalTime>
  <Pages>12</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 Sweetland</dc:creator>
  <cp:keywords/>
  <dc:description/>
  <cp:lastModifiedBy>Darl Sweetland</cp:lastModifiedBy>
  <cp:revision>2</cp:revision>
  <cp:lastPrinted>2025-05-06T06:45:00Z</cp:lastPrinted>
  <dcterms:created xsi:type="dcterms:W3CDTF">2025-05-06T06:46:00Z</dcterms:created>
  <dcterms:modified xsi:type="dcterms:W3CDTF">2025-05-06T06:46:00Z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0x010100B379FEA657661A47B1E4BA23E52A90F4</vt:lpwstr>
  </property>
  <property fmtid="{D5CDD505-2E9C-101B-9397-08002B2CF9AE}" pid="3" name="MediaServiceImageTags">
    <vt:lpwstr/>
  </property>
</Properties>
</file>