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9A18" w14:textId="77777777" w:rsidR="00F648B0" w:rsidRPr="00B04101" w:rsidRDefault="00F648B0" w:rsidP="00A40E59">
      <w:pPr>
        <w:spacing w:after="0" w:line="276" w:lineRule="auto"/>
        <w:rPr>
          <w:rFonts w:asciiTheme="majorHAnsi" w:hAnsiTheme="majorHAnsi"/>
          <w:sz w:val="22"/>
          <w:szCs w:val="22"/>
        </w:rPr>
      </w:pPr>
    </w:p>
    <w:p w14:paraId="5968B6FD" w14:textId="0FE64BD2" w:rsidR="00A36175" w:rsidRPr="00B04101" w:rsidRDefault="00F7492C" w:rsidP="00A40E59">
      <w:pPr>
        <w:spacing w:after="0" w:line="276" w:lineRule="auto"/>
        <w:rPr>
          <w:rFonts w:asciiTheme="majorHAnsi" w:hAnsiTheme="majorHAnsi"/>
          <w:color w:val="002060"/>
          <w:sz w:val="28"/>
          <w:szCs w:val="28"/>
        </w:rPr>
      </w:pPr>
      <w:r>
        <w:rPr>
          <w:rFonts w:asciiTheme="majorHAnsi" w:hAnsiTheme="majorHAnsi"/>
          <w:b/>
          <w:bCs/>
          <w:color w:val="002060"/>
          <w:sz w:val="28"/>
          <w:szCs w:val="28"/>
        </w:rPr>
        <w:t>1</w:t>
      </w:r>
      <w:r w:rsidR="00F648B0" w:rsidRPr="00B04101">
        <w:rPr>
          <w:rFonts w:asciiTheme="majorHAnsi" w:hAnsiTheme="majorHAnsi"/>
          <w:b/>
          <w:bCs/>
          <w:color w:val="002060"/>
          <w:sz w:val="28"/>
          <w:szCs w:val="28"/>
        </w:rPr>
        <w:t xml:space="preserve">. </w:t>
      </w:r>
      <w:r w:rsidR="008967A6" w:rsidRPr="00B04101">
        <w:rPr>
          <w:rFonts w:asciiTheme="majorHAnsi" w:hAnsiTheme="majorHAnsi"/>
          <w:b/>
          <w:bCs/>
          <w:color w:val="002060"/>
          <w:sz w:val="28"/>
          <w:szCs w:val="28"/>
        </w:rPr>
        <w:t>Polic</w:t>
      </w:r>
      <w:r w:rsidR="002B243F" w:rsidRPr="00B04101">
        <w:rPr>
          <w:rFonts w:asciiTheme="majorHAnsi" w:hAnsiTheme="majorHAnsi"/>
          <w:b/>
          <w:bCs/>
          <w:color w:val="002060"/>
          <w:sz w:val="28"/>
          <w:szCs w:val="28"/>
        </w:rPr>
        <w:t xml:space="preserve">y </w:t>
      </w:r>
      <w:r w:rsidR="008967A6" w:rsidRPr="00B04101">
        <w:rPr>
          <w:rFonts w:asciiTheme="majorHAnsi" w:hAnsiTheme="majorHAnsi"/>
          <w:b/>
          <w:bCs/>
          <w:color w:val="002060"/>
          <w:sz w:val="28"/>
          <w:szCs w:val="28"/>
        </w:rPr>
        <w:t>DM06 -</w:t>
      </w:r>
      <w:r w:rsidR="00587407" w:rsidRPr="00B04101">
        <w:rPr>
          <w:rFonts w:asciiTheme="majorHAnsi" w:hAnsiTheme="majorHAnsi"/>
          <w:b/>
          <w:bCs/>
          <w:color w:val="002060"/>
          <w:sz w:val="28"/>
          <w:szCs w:val="28"/>
        </w:rPr>
        <w:t xml:space="preserve">prioritising </w:t>
      </w:r>
      <w:r w:rsidR="00A36175" w:rsidRPr="00B04101">
        <w:rPr>
          <w:rFonts w:asciiTheme="majorHAnsi" w:hAnsiTheme="majorHAnsi"/>
          <w:b/>
          <w:bCs/>
          <w:color w:val="002060"/>
          <w:sz w:val="28"/>
          <w:szCs w:val="28"/>
        </w:rPr>
        <w:t>Sustainable Tra</w:t>
      </w:r>
      <w:r w:rsidR="00587407" w:rsidRPr="00B04101">
        <w:rPr>
          <w:rFonts w:asciiTheme="majorHAnsi" w:hAnsiTheme="majorHAnsi"/>
          <w:b/>
          <w:bCs/>
          <w:color w:val="002060"/>
          <w:sz w:val="28"/>
          <w:szCs w:val="28"/>
        </w:rPr>
        <w:t>nsport Modes</w:t>
      </w:r>
    </w:p>
    <w:p w14:paraId="02DA9C92" w14:textId="0042FBE9" w:rsidR="00F648B0" w:rsidRPr="00B04101" w:rsidRDefault="00F648B0" w:rsidP="00A40E59">
      <w:pPr>
        <w:spacing w:after="0" w:line="276" w:lineRule="auto"/>
        <w:rPr>
          <w:rFonts w:asciiTheme="majorHAnsi" w:hAnsiTheme="majorHAnsi"/>
          <w:sz w:val="22"/>
          <w:szCs w:val="22"/>
        </w:rPr>
      </w:pPr>
      <w:r w:rsidRPr="00B04101">
        <w:rPr>
          <w:rFonts w:asciiTheme="majorHAnsi" w:hAnsiTheme="majorHAnsi"/>
          <w:sz w:val="22"/>
          <w:szCs w:val="22"/>
        </w:rPr>
        <w:t>NPPF Paragraphs 11</w:t>
      </w:r>
      <w:r w:rsidR="00C67910" w:rsidRPr="00B04101">
        <w:rPr>
          <w:rFonts w:asciiTheme="majorHAnsi" w:hAnsiTheme="majorHAnsi"/>
          <w:sz w:val="22"/>
          <w:szCs w:val="22"/>
        </w:rPr>
        <w:t>5</w:t>
      </w:r>
      <w:r w:rsidRPr="00B04101">
        <w:rPr>
          <w:rFonts w:asciiTheme="majorHAnsi" w:hAnsiTheme="majorHAnsi"/>
          <w:sz w:val="22"/>
          <w:szCs w:val="22"/>
        </w:rPr>
        <w:t xml:space="preserve"> to 11</w:t>
      </w:r>
      <w:r w:rsidR="00CC5BCF" w:rsidRPr="00B04101">
        <w:rPr>
          <w:rFonts w:asciiTheme="majorHAnsi" w:hAnsiTheme="majorHAnsi"/>
          <w:sz w:val="22"/>
          <w:szCs w:val="22"/>
        </w:rPr>
        <w:t>8</w:t>
      </w:r>
      <w:r w:rsidRPr="00B04101">
        <w:rPr>
          <w:rFonts w:asciiTheme="majorHAnsi" w:hAnsiTheme="majorHAnsi"/>
          <w:sz w:val="22"/>
          <w:szCs w:val="22"/>
        </w:rPr>
        <w:t xml:space="preserve"> set out the Government’s development planning policies with respect to transport. These paragraphs focus on, and emphasise, the promotion of sustainable transport. i.e.</w:t>
      </w:r>
    </w:p>
    <w:p w14:paraId="6365F80D" w14:textId="77777777" w:rsidR="00335236" w:rsidRPr="00B04101" w:rsidRDefault="00335236" w:rsidP="00A40E59">
      <w:pPr>
        <w:spacing w:after="0" w:line="276" w:lineRule="auto"/>
        <w:rPr>
          <w:rFonts w:asciiTheme="majorHAnsi" w:hAnsiTheme="majorHAnsi"/>
          <w:sz w:val="22"/>
          <w:szCs w:val="22"/>
        </w:rPr>
      </w:pPr>
    </w:p>
    <w:p w14:paraId="553D2F88" w14:textId="19C595AC" w:rsidR="00F648B0" w:rsidRPr="00B04101" w:rsidRDefault="002D7058" w:rsidP="00A40E59">
      <w:pPr>
        <w:spacing w:after="0" w:line="276" w:lineRule="auto"/>
        <w:rPr>
          <w:rFonts w:asciiTheme="majorHAnsi" w:hAnsiTheme="majorHAnsi"/>
          <w:i/>
          <w:iCs/>
          <w:sz w:val="22"/>
          <w:szCs w:val="22"/>
        </w:rPr>
      </w:pPr>
      <w:r w:rsidRPr="00B04101">
        <w:rPr>
          <w:rFonts w:asciiTheme="majorHAnsi" w:hAnsiTheme="majorHAnsi"/>
          <w:i/>
          <w:iCs/>
          <w:sz w:val="22"/>
          <w:szCs w:val="22"/>
        </w:rPr>
        <w:t>“</w:t>
      </w:r>
      <w:r w:rsidR="00F648B0" w:rsidRPr="00B04101">
        <w:rPr>
          <w:rFonts w:asciiTheme="majorHAnsi" w:hAnsiTheme="majorHAnsi"/>
          <w:i/>
          <w:iCs/>
          <w:sz w:val="22"/>
          <w:szCs w:val="22"/>
        </w:rPr>
        <w:t>115. In assessing sites that may be allocated for development in plans, or specific applications for development, it should be ensured that:</w:t>
      </w:r>
      <w:r w:rsidRPr="00B04101">
        <w:rPr>
          <w:rFonts w:asciiTheme="majorHAnsi" w:hAnsiTheme="majorHAnsi"/>
          <w:i/>
          <w:iCs/>
          <w:sz w:val="22"/>
          <w:szCs w:val="22"/>
        </w:rPr>
        <w:t xml:space="preserve"> </w:t>
      </w:r>
      <w:r w:rsidR="00F648B0" w:rsidRPr="00B04101">
        <w:rPr>
          <w:rFonts w:asciiTheme="majorHAnsi" w:hAnsiTheme="majorHAnsi"/>
          <w:i/>
          <w:iCs/>
          <w:sz w:val="22"/>
          <w:szCs w:val="22"/>
        </w:rPr>
        <w:t>a) sustainable transport modes are prioritised taking account of the vision for the site, the type of development and its location;</w:t>
      </w:r>
      <w:r w:rsidR="007538A5" w:rsidRPr="00B04101">
        <w:rPr>
          <w:rFonts w:asciiTheme="majorHAnsi" w:hAnsiTheme="majorHAnsi"/>
          <w:i/>
          <w:iCs/>
          <w:sz w:val="22"/>
          <w:szCs w:val="22"/>
        </w:rPr>
        <w:t xml:space="preserve">” </w:t>
      </w:r>
      <w:r w:rsidR="007538A5" w:rsidRPr="00B04101">
        <w:rPr>
          <w:rFonts w:asciiTheme="majorHAnsi" w:hAnsiTheme="majorHAnsi"/>
          <w:sz w:val="22"/>
          <w:szCs w:val="22"/>
        </w:rPr>
        <w:t>and “</w:t>
      </w:r>
      <w:r w:rsidR="00F648B0" w:rsidRPr="00B04101">
        <w:rPr>
          <w:rFonts w:asciiTheme="majorHAnsi" w:hAnsiTheme="majorHAnsi"/>
          <w:i/>
          <w:iCs/>
          <w:sz w:val="22"/>
          <w:szCs w:val="22"/>
        </w:rPr>
        <w:t>117. Within this context, applications for development should:</w:t>
      </w:r>
      <w:r w:rsidRPr="00B04101">
        <w:rPr>
          <w:rFonts w:asciiTheme="majorHAnsi" w:hAnsiTheme="majorHAnsi"/>
          <w:i/>
          <w:iCs/>
          <w:sz w:val="22"/>
          <w:szCs w:val="22"/>
        </w:rPr>
        <w:t xml:space="preserve"> </w:t>
      </w:r>
      <w:r w:rsidR="00F648B0" w:rsidRPr="00B04101">
        <w:rPr>
          <w:rFonts w:asciiTheme="majorHAnsi" w:hAnsiTheme="majorHAnsi"/>
          <w:i/>
          <w:iCs/>
          <w:sz w:val="22"/>
          <w:szCs w:val="22"/>
        </w:rPr>
        <w:t>a) give priority first to pedestrian and cycle movements, both within the scheme and with neighbouring areas; and second – so far as possible – to facilitating access to high quality public transport, with layouts that maximise the catchment area for bus or other public transport services, and appropriate facilities that encourage public transport use;</w:t>
      </w:r>
      <w:r w:rsidRPr="00B04101">
        <w:rPr>
          <w:rFonts w:asciiTheme="majorHAnsi" w:hAnsiTheme="majorHAnsi"/>
          <w:i/>
          <w:iCs/>
          <w:sz w:val="22"/>
          <w:szCs w:val="22"/>
        </w:rPr>
        <w:t>”</w:t>
      </w:r>
    </w:p>
    <w:p w14:paraId="72710D52" w14:textId="77777777" w:rsidR="00560F1C" w:rsidRPr="00B04101" w:rsidRDefault="00560F1C" w:rsidP="00A40E59">
      <w:pPr>
        <w:spacing w:after="0" w:line="276" w:lineRule="auto"/>
        <w:rPr>
          <w:rFonts w:asciiTheme="majorHAnsi" w:hAnsiTheme="majorHAnsi"/>
          <w:i/>
          <w:iCs/>
          <w:sz w:val="22"/>
          <w:szCs w:val="22"/>
        </w:rPr>
      </w:pPr>
    </w:p>
    <w:p w14:paraId="1413E50C" w14:textId="7D1924E3" w:rsidR="00B66239" w:rsidRPr="00B04101" w:rsidRDefault="00A568AC" w:rsidP="00CD2DB5">
      <w:pPr>
        <w:spacing w:after="0" w:line="276" w:lineRule="auto"/>
        <w:rPr>
          <w:rFonts w:asciiTheme="majorHAnsi" w:hAnsiTheme="majorHAnsi"/>
          <w:sz w:val="22"/>
          <w:szCs w:val="22"/>
        </w:rPr>
      </w:pPr>
      <w:r w:rsidRPr="00B04101">
        <w:rPr>
          <w:rFonts w:asciiTheme="majorHAnsi" w:hAnsiTheme="majorHAnsi"/>
          <w:sz w:val="22"/>
          <w:szCs w:val="22"/>
        </w:rPr>
        <w:t xml:space="preserve">Policy DS03 Development Strategy: Tackling Climate Change and Enhancing the Natural Environment </w:t>
      </w:r>
      <w:r w:rsidR="00C02DA2" w:rsidRPr="00B04101">
        <w:rPr>
          <w:rFonts w:asciiTheme="majorHAnsi" w:hAnsiTheme="majorHAnsi"/>
          <w:sz w:val="22"/>
          <w:szCs w:val="22"/>
        </w:rPr>
        <w:t>states</w:t>
      </w:r>
      <w:r w:rsidR="006C5CDC" w:rsidRPr="00B04101">
        <w:rPr>
          <w:rFonts w:asciiTheme="majorHAnsi" w:hAnsiTheme="majorHAnsi"/>
          <w:i/>
          <w:iCs/>
          <w:sz w:val="22"/>
          <w:szCs w:val="22"/>
        </w:rPr>
        <w:t xml:space="preserve"> “</w:t>
      </w:r>
      <w:r w:rsidRPr="00B04101">
        <w:rPr>
          <w:rFonts w:asciiTheme="majorHAnsi" w:hAnsiTheme="majorHAnsi"/>
          <w:i/>
          <w:iCs/>
          <w:sz w:val="22"/>
          <w:szCs w:val="22"/>
        </w:rPr>
        <w:t xml:space="preserve">1. Development will be permitted where </w:t>
      </w:r>
      <w:proofErr w:type="gramStart"/>
      <w:r w:rsidRPr="00B04101">
        <w:rPr>
          <w:rFonts w:asciiTheme="majorHAnsi" w:hAnsiTheme="majorHAnsi"/>
          <w:i/>
          <w:iCs/>
          <w:sz w:val="22"/>
          <w:szCs w:val="22"/>
        </w:rPr>
        <w:t>it</w:t>
      </w:r>
      <w:proofErr w:type="gramEnd"/>
      <w:r w:rsidRPr="00B04101">
        <w:rPr>
          <w:rFonts w:asciiTheme="majorHAnsi" w:hAnsiTheme="majorHAnsi"/>
          <w:i/>
          <w:iCs/>
          <w:sz w:val="22"/>
          <w:szCs w:val="22"/>
        </w:rPr>
        <w:t xml:space="preserve"> a) Prioritises sustainable active travel modes such as walking, cycling, or public transport above use of the private car</w:t>
      </w:r>
      <w:r w:rsidR="006C5CDC" w:rsidRPr="00B04101">
        <w:rPr>
          <w:rFonts w:asciiTheme="majorHAnsi" w:hAnsiTheme="majorHAnsi"/>
          <w:i/>
          <w:iCs/>
          <w:sz w:val="22"/>
          <w:szCs w:val="22"/>
        </w:rPr>
        <w:t>.”</w:t>
      </w:r>
      <w:r w:rsidR="00CD2DB5" w:rsidRPr="00B04101">
        <w:rPr>
          <w:rFonts w:asciiTheme="majorHAnsi" w:hAnsiTheme="majorHAnsi"/>
          <w:i/>
          <w:iCs/>
          <w:sz w:val="22"/>
          <w:szCs w:val="22"/>
        </w:rPr>
        <w:t xml:space="preserve"> </w:t>
      </w:r>
      <w:r w:rsidR="00385E85" w:rsidRPr="00B04101">
        <w:rPr>
          <w:rFonts w:asciiTheme="majorHAnsi" w:hAnsiTheme="majorHAnsi"/>
          <w:sz w:val="22"/>
          <w:szCs w:val="22"/>
        </w:rPr>
        <w:t xml:space="preserve">In </w:t>
      </w:r>
      <w:r w:rsidR="0053057A" w:rsidRPr="00B04101">
        <w:rPr>
          <w:rFonts w:asciiTheme="majorHAnsi" w:hAnsiTheme="majorHAnsi"/>
          <w:sz w:val="22"/>
          <w:szCs w:val="22"/>
        </w:rPr>
        <w:t>‘O</w:t>
      </w:r>
      <w:r w:rsidR="00385E85" w:rsidRPr="00B04101">
        <w:rPr>
          <w:rFonts w:asciiTheme="majorHAnsi" w:hAnsiTheme="majorHAnsi"/>
          <w:sz w:val="22"/>
          <w:szCs w:val="22"/>
        </w:rPr>
        <w:t xml:space="preserve">ur </w:t>
      </w:r>
      <w:r w:rsidR="0053057A" w:rsidRPr="00B04101">
        <w:rPr>
          <w:rFonts w:asciiTheme="majorHAnsi" w:hAnsiTheme="majorHAnsi"/>
          <w:sz w:val="22"/>
          <w:szCs w:val="22"/>
        </w:rPr>
        <w:t>r</w:t>
      </w:r>
      <w:r w:rsidR="00385E85" w:rsidRPr="00B04101">
        <w:rPr>
          <w:rFonts w:asciiTheme="majorHAnsi" w:hAnsiTheme="majorHAnsi"/>
          <w:sz w:val="22"/>
          <w:szCs w:val="22"/>
        </w:rPr>
        <w:t>easons for this Policy</w:t>
      </w:r>
      <w:r w:rsidR="0053057A" w:rsidRPr="00B04101">
        <w:rPr>
          <w:rFonts w:asciiTheme="majorHAnsi" w:hAnsiTheme="majorHAnsi"/>
          <w:sz w:val="22"/>
          <w:szCs w:val="22"/>
        </w:rPr>
        <w:t xml:space="preserve">’ Para 4.34 states </w:t>
      </w:r>
      <w:r w:rsidR="00C02DA2" w:rsidRPr="00B04101">
        <w:rPr>
          <w:rFonts w:asciiTheme="majorHAnsi" w:hAnsiTheme="majorHAnsi"/>
          <w:i/>
          <w:iCs/>
          <w:sz w:val="22"/>
          <w:szCs w:val="22"/>
        </w:rPr>
        <w:t>“This policy … embeds a sustainable transport hierarchy</w:t>
      </w:r>
      <w:r w:rsidR="002E3B4C" w:rsidRPr="00B04101">
        <w:rPr>
          <w:rFonts w:asciiTheme="majorHAnsi" w:hAnsiTheme="majorHAnsi"/>
          <w:i/>
          <w:iCs/>
          <w:sz w:val="22"/>
          <w:szCs w:val="22"/>
        </w:rPr>
        <w:t xml:space="preserve"> which aims to reduce high carbon travel modes in favour of more sustainable alternatives like walking and cycling</w:t>
      </w:r>
      <w:r w:rsidR="00C02DA2" w:rsidRPr="00B04101">
        <w:rPr>
          <w:rFonts w:asciiTheme="majorHAnsi" w:hAnsiTheme="majorHAnsi"/>
          <w:i/>
          <w:iCs/>
          <w:sz w:val="22"/>
          <w:szCs w:val="22"/>
        </w:rPr>
        <w:t>”</w:t>
      </w:r>
      <w:r w:rsidR="00B66239" w:rsidRPr="00B04101">
        <w:rPr>
          <w:rFonts w:asciiTheme="majorHAnsi" w:hAnsiTheme="majorHAnsi"/>
          <w:i/>
          <w:iCs/>
          <w:sz w:val="22"/>
          <w:szCs w:val="22"/>
        </w:rPr>
        <w:t>.</w:t>
      </w:r>
    </w:p>
    <w:p w14:paraId="65D269B6" w14:textId="77777777" w:rsidR="00B66239" w:rsidRPr="00B04101" w:rsidRDefault="00B66239" w:rsidP="00A40E59">
      <w:pPr>
        <w:numPr>
          <w:ilvl w:val="1"/>
          <w:numId w:val="3"/>
        </w:numPr>
        <w:spacing w:after="0" w:line="276" w:lineRule="auto"/>
        <w:rPr>
          <w:rFonts w:asciiTheme="majorHAnsi" w:hAnsiTheme="majorHAnsi"/>
          <w:sz w:val="22"/>
          <w:szCs w:val="22"/>
        </w:rPr>
      </w:pPr>
    </w:p>
    <w:p w14:paraId="2C67DA07" w14:textId="0C1D1203" w:rsidR="001F56FC" w:rsidRPr="00B04101" w:rsidRDefault="00B40AFA" w:rsidP="007D2E87">
      <w:pPr>
        <w:numPr>
          <w:ilvl w:val="1"/>
          <w:numId w:val="3"/>
        </w:num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However</w:t>
      </w:r>
      <w:r w:rsidR="009006E7" w:rsidRPr="00B04101">
        <w:rPr>
          <w:rFonts w:asciiTheme="majorHAnsi" w:hAnsiTheme="majorHAnsi"/>
          <w:b/>
          <w:bCs/>
          <w:color w:val="002060"/>
          <w:sz w:val="22"/>
          <w:szCs w:val="22"/>
        </w:rPr>
        <w:t xml:space="preserve">, </w:t>
      </w:r>
      <w:r w:rsidRPr="00B04101">
        <w:rPr>
          <w:rFonts w:asciiTheme="majorHAnsi" w:hAnsiTheme="majorHAnsi"/>
          <w:b/>
          <w:bCs/>
          <w:color w:val="002060"/>
          <w:sz w:val="22"/>
          <w:szCs w:val="22"/>
        </w:rPr>
        <w:t xml:space="preserve">the need to </w:t>
      </w:r>
      <w:proofErr w:type="spellStart"/>
      <w:r w:rsidR="00B04101" w:rsidRPr="00B04101">
        <w:rPr>
          <w:rFonts w:asciiTheme="majorHAnsi" w:hAnsiTheme="majorHAnsi"/>
          <w:b/>
          <w:bCs/>
          <w:color w:val="002060"/>
          <w:sz w:val="22"/>
          <w:szCs w:val="22"/>
        </w:rPr>
        <w:t>i</w:t>
      </w:r>
      <w:proofErr w:type="spellEnd"/>
      <w:r w:rsidR="00B04101" w:rsidRPr="00B04101">
        <w:rPr>
          <w:rFonts w:asciiTheme="majorHAnsi" w:hAnsiTheme="majorHAnsi"/>
          <w:b/>
          <w:bCs/>
          <w:color w:val="002060"/>
          <w:sz w:val="22"/>
          <w:szCs w:val="22"/>
        </w:rPr>
        <w:t xml:space="preserve">) </w:t>
      </w:r>
      <w:r w:rsidRPr="00B04101">
        <w:rPr>
          <w:rFonts w:asciiTheme="majorHAnsi" w:hAnsiTheme="majorHAnsi"/>
          <w:b/>
          <w:bCs/>
          <w:color w:val="002060"/>
          <w:sz w:val="22"/>
          <w:szCs w:val="22"/>
        </w:rPr>
        <w:t>prioritise sustainable transport modes</w:t>
      </w:r>
      <w:r w:rsidR="00552C63" w:rsidRPr="00B04101">
        <w:rPr>
          <w:rFonts w:asciiTheme="majorHAnsi" w:hAnsiTheme="majorHAnsi"/>
          <w:b/>
          <w:bCs/>
          <w:color w:val="002060"/>
          <w:sz w:val="22"/>
          <w:szCs w:val="22"/>
        </w:rPr>
        <w:t xml:space="preserve"> and </w:t>
      </w:r>
      <w:r w:rsidR="00B04101" w:rsidRPr="00B04101">
        <w:rPr>
          <w:rFonts w:asciiTheme="majorHAnsi" w:hAnsiTheme="majorHAnsi"/>
          <w:b/>
          <w:bCs/>
          <w:color w:val="002060"/>
          <w:sz w:val="22"/>
          <w:szCs w:val="22"/>
        </w:rPr>
        <w:t xml:space="preserve">ii) </w:t>
      </w:r>
      <w:r w:rsidRPr="00B04101">
        <w:rPr>
          <w:rFonts w:asciiTheme="majorHAnsi" w:hAnsiTheme="majorHAnsi"/>
          <w:b/>
          <w:bCs/>
          <w:color w:val="002060"/>
          <w:sz w:val="22"/>
          <w:szCs w:val="22"/>
        </w:rPr>
        <w:t>establish a hierarchy of travel choices</w:t>
      </w:r>
      <w:r w:rsidR="000369E3" w:rsidRPr="00B04101">
        <w:rPr>
          <w:rFonts w:asciiTheme="majorHAnsi" w:hAnsiTheme="majorHAnsi"/>
          <w:b/>
          <w:bCs/>
          <w:color w:val="002060"/>
          <w:sz w:val="22"/>
          <w:szCs w:val="22"/>
        </w:rPr>
        <w:t>,</w:t>
      </w:r>
      <w:r w:rsidR="008A3746" w:rsidRPr="00B04101">
        <w:rPr>
          <w:rFonts w:asciiTheme="majorHAnsi" w:hAnsiTheme="majorHAnsi"/>
          <w:b/>
          <w:bCs/>
          <w:color w:val="002060"/>
          <w:sz w:val="22"/>
          <w:szCs w:val="22"/>
        </w:rPr>
        <w:t xml:space="preserve"> as set out in NPPF Paragraphs 115 and 117, </w:t>
      </w:r>
      <w:r w:rsidR="009006E7" w:rsidRPr="00B04101">
        <w:rPr>
          <w:rFonts w:asciiTheme="majorHAnsi" w:hAnsiTheme="majorHAnsi"/>
          <w:b/>
          <w:bCs/>
          <w:color w:val="002060"/>
          <w:sz w:val="22"/>
          <w:szCs w:val="22"/>
        </w:rPr>
        <w:t xml:space="preserve">is </w:t>
      </w:r>
      <w:r w:rsidR="00552C63" w:rsidRPr="00B04101">
        <w:rPr>
          <w:rFonts w:asciiTheme="majorHAnsi" w:hAnsiTheme="majorHAnsi"/>
          <w:b/>
          <w:bCs/>
          <w:color w:val="002060"/>
          <w:sz w:val="22"/>
          <w:szCs w:val="22"/>
        </w:rPr>
        <w:t>omitted from</w:t>
      </w:r>
      <w:r w:rsidR="00C02DA2" w:rsidRPr="00B04101">
        <w:rPr>
          <w:rFonts w:asciiTheme="majorHAnsi" w:hAnsiTheme="majorHAnsi"/>
          <w:b/>
          <w:bCs/>
          <w:color w:val="002060"/>
          <w:sz w:val="22"/>
          <w:szCs w:val="22"/>
        </w:rPr>
        <w:t xml:space="preserve"> Policy DM06. Given that </w:t>
      </w:r>
      <w:r w:rsidR="00552C63" w:rsidRPr="00B04101">
        <w:rPr>
          <w:rFonts w:asciiTheme="majorHAnsi" w:hAnsiTheme="majorHAnsi"/>
          <w:b/>
          <w:bCs/>
          <w:color w:val="002060"/>
          <w:sz w:val="22"/>
          <w:szCs w:val="22"/>
        </w:rPr>
        <w:t xml:space="preserve">Policy </w:t>
      </w:r>
      <w:r w:rsidR="00C02DA2" w:rsidRPr="00B04101">
        <w:rPr>
          <w:rFonts w:asciiTheme="majorHAnsi" w:hAnsiTheme="majorHAnsi"/>
          <w:b/>
          <w:bCs/>
          <w:color w:val="002060"/>
          <w:sz w:val="22"/>
          <w:szCs w:val="22"/>
        </w:rPr>
        <w:t xml:space="preserve">DM06 </w:t>
      </w:r>
      <w:r w:rsidR="00F8335E" w:rsidRPr="00B04101">
        <w:rPr>
          <w:rFonts w:asciiTheme="majorHAnsi" w:hAnsiTheme="majorHAnsi"/>
          <w:b/>
          <w:bCs/>
          <w:color w:val="002060"/>
          <w:sz w:val="22"/>
          <w:szCs w:val="22"/>
        </w:rPr>
        <w:t xml:space="preserve">relates specifically to </w:t>
      </w:r>
      <w:r w:rsidR="00C639EC" w:rsidRPr="00B04101">
        <w:rPr>
          <w:rFonts w:asciiTheme="majorHAnsi" w:hAnsiTheme="majorHAnsi"/>
          <w:b/>
          <w:bCs/>
          <w:color w:val="002060"/>
          <w:sz w:val="22"/>
          <w:szCs w:val="22"/>
        </w:rPr>
        <w:t>T</w:t>
      </w:r>
      <w:r w:rsidR="00C02DA2" w:rsidRPr="00B04101">
        <w:rPr>
          <w:rFonts w:asciiTheme="majorHAnsi" w:hAnsiTheme="majorHAnsi"/>
          <w:b/>
          <w:bCs/>
          <w:color w:val="002060"/>
          <w:sz w:val="22"/>
          <w:szCs w:val="22"/>
        </w:rPr>
        <w:t>ransport</w:t>
      </w:r>
      <w:r w:rsidR="00F8335E" w:rsidRPr="00B04101">
        <w:rPr>
          <w:rFonts w:asciiTheme="majorHAnsi" w:hAnsiTheme="majorHAnsi"/>
          <w:b/>
          <w:bCs/>
          <w:color w:val="002060"/>
          <w:sz w:val="22"/>
          <w:szCs w:val="22"/>
        </w:rPr>
        <w:t xml:space="preserve"> and </w:t>
      </w:r>
      <w:r w:rsidR="00C639EC" w:rsidRPr="00B04101">
        <w:rPr>
          <w:rFonts w:asciiTheme="majorHAnsi" w:hAnsiTheme="majorHAnsi"/>
          <w:b/>
          <w:bCs/>
          <w:color w:val="002060"/>
          <w:sz w:val="22"/>
          <w:szCs w:val="22"/>
        </w:rPr>
        <w:t>A</w:t>
      </w:r>
      <w:r w:rsidR="00F8335E" w:rsidRPr="00B04101">
        <w:rPr>
          <w:rFonts w:asciiTheme="majorHAnsi" w:hAnsiTheme="majorHAnsi"/>
          <w:b/>
          <w:bCs/>
          <w:color w:val="002060"/>
          <w:sz w:val="22"/>
          <w:szCs w:val="22"/>
        </w:rPr>
        <w:t>ccessibility t</w:t>
      </w:r>
      <w:r w:rsidR="00C02DA2" w:rsidRPr="00B04101">
        <w:rPr>
          <w:rFonts w:asciiTheme="majorHAnsi" w:hAnsiTheme="majorHAnsi"/>
          <w:b/>
          <w:bCs/>
          <w:color w:val="002060"/>
          <w:sz w:val="22"/>
          <w:szCs w:val="22"/>
        </w:rPr>
        <w:t xml:space="preserve">his </w:t>
      </w:r>
      <w:r w:rsidR="00C85BDD" w:rsidRPr="00B04101">
        <w:rPr>
          <w:rFonts w:asciiTheme="majorHAnsi" w:hAnsiTheme="majorHAnsi"/>
          <w:b/>
          <w:bCs/>
          <w:color w:val="002060"/>
          <w:sz w:val="22"/>
          <w:szCs w:val="22"/>
        </w:rPr>
        <w:t>makes the Proposed Submission Draft Harborough Local Plan unsound.</w:t>
      </w:r>
    </w:p>
    <w:p w14:paraId="5E5C8583" w14:textId="77777777" w:rsidR="007D2E87" w:rsidRPr="00B04101" w:rsidRDefault="007D2E87" w:rsidP="007D2E87">
      <w:pPr>
        <w:numPr>
          <w:ilvl w:val="1"/>
          <w:numId w:val="3"/>
        </w:numPr>
        <w:spacing w:after="0" w:line="276" w:lineRule="auto"/>
        <w:rPr>
          <w:rFonts w:asciiTheme="majorHAnsi" w:hAnsiTheme="majorHAnsi"/>
          <w:sz w:val="22"/>
          <w:szCs w:val="22"/>
        </w:rPr>
      </w:pPr>
    </w:p>
    <w:p w14:paraId="5C4A69BF" w14:textId="75A09051" w:rsidR="00F63287" w:rsidRPr="00B04101" w:rsidRDefault="00C639EC" w:rsidP="00A40E59">
      <w:pPr>
        <w:spacing w:after="0" w:line="276" w:lineRule="auto"/>
        <w:rPr>
          <w:rFonts w:asciiTheme="majorHAnsi" w:hAnsiTheme="majorHAnsi"/>
          <w:i/>
          <w:iCs/>
          <w:sz w:val="22"/>
          <w:szCs w:val="22"/>
        </w:rPr>
      </w:pPr>
      <w:r w:rsidRPr="00B04101">
        <w:rPr>
          <w:rFonts w:asciiTheme="majorHAnsi" w:hAnsiTheme="majorHAnsi"/>
          <w:sz w:val="22"/>
          <w:szCs w:val="22"/>
        </w:rPr>
        <w:t>Th</w:t>
      </w:r>
      <w:r w:rsidR="00F63287" w:rsidRPr="00B04101">
        <w:rPr>
          <w:rFonts w:asciiTheme="majorHAnsi" w:hAnsiTheme="majorHAnsi"/>
          <w:sz w:val="22"/>
          <w:szCs w:val="22"/>
        </w:rPr>
        <w:t xml:space="preserve">e Harborough Local Plan Strategic Transport Impact Assessment (January 2025) states </w:t>
      </w:r>
      <w:r w:rsidR="00F63287" w:rsidRPr="00B04101">
        <w:rPr>
          <w:rFonts w:asciiTheme="majorHAnsi" w:hAnsiTheme="majorHAnsi"/>
          <w:i/>
          <w:iCs/>
          <w:sz w:val="22"/>
          <w:szCs w:val="22"/>
        </w:rPr>
        <w:t>“4.3.1 As noted in Section 1, the requirements for active travel mitigation have become more important in recent years, with the formation of Active Travel England (ATE) and the publication of LTN1/20.</w:t>
      </w:r>
      <w:r w:rsidR="00F63287" w:rsidRPr="00B04101">
        <w:rPr>
          <w:rFonts w:asciiTheme="majorHAnsi" w:hAnsiTheme="majorHAnsi"/>
          <w:b/>
          <w:bCs/>
          <w:i/>
          <w:iCs/>
          <w:sz w:val="22"/>
          <w:szCs w:val="22"/>
        </w:rPr>
        <w:t xml:space="preserve"> </w:t>
      </w:r>
      <w:r w:rsidR="00F63287" w:rsidRPr="00B04101">
        <w:rPr>
          <w:rFonts w:asciiTheme="majorHAnsi" w:hAnsiTheme="majorHAnsi"/>
          <w:i/>
          <w:iCs/>
          <w:sz w:val="22"/>
          <w:szCs w:val="22"/>
        </w:rPr>
        <w:t>Pedestrians and cyclists are now recognised at the top of the transport hierarchy.”</w:t>
      </w:r>
    </w:p>
    <w:p w14:paraId="5BB54CC7" w14:textId="77777777" w:rsidR="00560F1C" w:rsidRPr="00B04101" w:rsidRDefault="00560F1C" w:rsidP="00A40E59">
      <w:pPr>
        <w:spacing w:after="0" w:line="276" w:lineRule="auto"/>
        <w:rPr>
          <w:rFonts w:asciiTheme="majorHAnsi" w:hAnsiTheme="majorHAnsi"/>
          <w:sz w:val="22"/>
          <w:szCs w:val="22"/>
        </w:rPr>
      </w:pPr>
    </w:p>
    <w:p w14:paraId="0645D7D0" w14:textId="4A62418C" w:rsidR="00942DE2" w:rsidRPr="00B04101" w:rsidRDefault="002E3B4C" w:rsidP="00A40E59">
      <w:pPr>
        <w:spacing w:after="0" w:line="276" w:lineRule="auto"/>
        <w:rPr>
          <w:rFonts w:asciiTheme="majorHAnsi" w:hAnsiTheme="majorHAnsi"/>
          <w:i/>
          <w:iCs/>
          <w:sz w:val="22"/>
          <w:szCs w:val="22"/>
        </w:rPr>
      </w:pPr>
      <w:r w:rsidRPr="00B04101">
        <w:rPr>
          <w:rFonts w:asciiTheme="majorHAnsi" w:hAnsiTheme="majorHAnsi"/>
          <w:sz w:val="22"/>
          <w:szCs w:val="22"/>
        </w:rPr>
        <w:t xml:space="preserve">The HDC Climate Change and Renewable Energy Study: Policy Review (October 2024) </w:t>
      </w:r>
      <w:r w:rsidR="00F63287" w:rsidRPr="00B04101">
        <w:rPr>
          <w:rFonts w:asciiTheme="majorHAnsi" w:hAnsiTheme="majorHAnsi"/>
          <w:sz w:val="22"/>
          <w:szCs w:val="22"/>
        </w:rPr>
        <w:t xml:space="preserve">also </w:t>
      </w:r>
      <w:r w:rsidR="00AC7437" w:rsidRPr="00B04101">
        <w:rPr>
          <w:rFonts w:asciiTheme="majorHAnsi" w:hAnsiTheme="majorHAnsi"/>
          <w:sz w:val="22"/>
          <w:szCs w:val="22"/>
        </w:rPr>
        <w:t>recommends</w:t>
      </w:r>
      <w:r w:rsidRPr="00B04101">
        <w:rPr>
          <w:rFonts w:asciiTheme="majorHAnsi" w:hAnsiTheme="majorHAnsi"/>
          <w:sz w:val="22"/>
          <w:szCs w:val="22"/>
        </w:rPr>
        <w:t xml:space="preserve"> </w:t>
      </w:r>
      <w:proofErr w:type="gramStart"/>
      <w:r w:rsidRPr="00B04101">
        <w:rPr>
          <w:rFonts w:asciiTheme="majorHAnsi" w:hAnsiTheme="majorHAnsi"/>
          <w:sz w:val="22"/>
          <w:szCs w:val="22"/>
        </w:rPr>
        <w:t>a number of</w:t>
      </w:r>
      <w:proofErr w:type="gramEnd"/>
      <w:r w:rsidRPr="00B04101">
        <w:rPr>
          <w:rFonts w:asciiTheme="majorHAnsi" w:hAnsiTheme="majorHAnsi"/>
          <w:sz w:val="22"/>
          <w:szCs w:val="22"/>
        </w:rPr>
        <w:t xml:space="preserve"> policy approaches for reducing carbon emissions from transport related to new development (Para 2.119). First amongst those policy options was to </w:t>
      </w:r>
      <w:r w:rsidRPr="00B04101">
        <w:rPr>
          <w:rFonts w:asciiTheme="majorHAnsi" w:hAnsiTheme="majorHAnsi"/>
          <w:i/>
          <w:iCs/>
          <w:sz w:val="22"/>
          <w:szCs w:val="22"/>
        </w:rPr>
        <w:t xml:space="preserve">“Require a sustainable transport hierarchy” </w:t>
      </w:r>
      <w:r w:rsidRPr="00B04101">
        <w:rPr>
          <w:rFonts w:asciiTheme="majorHAnsi" w:hAnsiTheme="majorHAnsi"/>
          <w:sz w:val="22"/>
          <w:szCs w:val="22"/>
        </w:rPr>
        <w:t>and the example given was from the Suffolk CC Local Transport Plan.</w:t>
      </w:r>
      <w:r w:rsidR="002D7058" w:rsidRPr="00B04101">
        <w:rPr>
          <w:rFonts w:asciiTheme="majorHAnsi" w:hAnsiTheme="majorHAnsi"/>
          <w:sz w:val="22"/>
          <w:szCs w:val="22"/>
        </w:rPr>
        <w:t xml:space="preserve"> </w:t>
      </w:r>
    </w:p>
    <w:p w14:paraId="7D02CB86" w14:textId="17A16465" w:rsidR="00F648B0" w:rsidRPr="00B04101" w:rsidRDefault="00F648B0" w:rsidP="00A40E59">
      <w:pPr>
        <w:spacing w:after="0" w:line="276" w:lineRule="auto"/>
        <w:jc w:val="center"/>
        <w:rPr>
          <w:rFonts w:asciiTheme="majorHAnsi" w:hAnsiTheme="majorHAnsi"/>
          <w:i/>
          <w:iCs/>
          <w:sz w:val="22"/>
          <w:szCs w:val="22"/>
        </w:rPr>
      </w:pPr>
      <w:r w:rsidRPr="00B04101">
        <w:rPr>
          <w:rFonts w:asciiTheme="majorHAnsi" w:hAnsiTheme="majorHAnsi"/>
          <w:i/>
          <w:iCs/>
          <w:noProof/>
          <w:sz w:val="22"/>
          <w:szCs w:val="22"/>
        </w:rPr>
        <w:lastRenderedPageBreak/>
        <w:drawing>
          <wp:inline distT="0" distB="0" distL="0" distR="0" wp14:anchorId="477C4630" wp14:editId="4C93E5B9">
            <wp:extent cx="2704682" cy="3876675"/>
            <wp:effectExtent l="19050" t="19050" r="19685" b="9525"/>
            <wp:docPr id="724352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5343" cy="3906289"/>
                    </a:xfrm>
                    <a:prstGeom prst="rect">
                      <a:avLst/>
                    </a:prstGeom>
                    <a:noFill/>
                    <a:ln>
                      <a:solidFill>
                        <a:schemeClr val="accent1"/>
                      </a:solidFill>
                    </a:ln>
                  </pic:spPr>
                </pic:pic>
              </a:graphicData>
            </a:graphic>
          </wp:inline>
        </w:drawing>
      </w:r>
    </w:p>
    <w:p w14:paraId="260FA070" w14:textId="0DF14C98" w:rsidR="00155095" w:rsidRPr="00B04101" w:rsidRDefault="00155095" w:rsidP="00A40E59">
      <w:pPr>
        <w:spacing w:after="0" w:line="276" w:lineRule="auto"/>
        <w:jc w:val="center"/>
        <w:rPr>
          <w:rFonts w:asciiTheme="majorHAnsi" w:hAnsiTheme="majorHAnsi"/>
          <w:i/>
          <w:iCs/>
          <w:sz w:val="22"/>
          <w:szCs w:val="22"/>
        </w:rPr>
      </w:pPr>
    </w:p>
    <w:p w14:paraId="013C0CAF" w14:textId="77777777" w:rsidR="00942DE2" w:rsidRPr="00B04101" w:rsidRDefault="00942DE2" w:rsidP="00A40E59">
      <w:pPr>
        <w:spacing w:after="0" w:line="276" w:lineRule="auto"/>
        <w:rPr>
          <w:rFonts w:asciiTheme="majorHAnsi" w:hAnsiTheme="majorHAnsi"/>
          <w:b/>
          <w:bCs/>
          <w:sz w:val="22"/>
          <w:szCs w:val="22"/>
        </w:rPr>
      </w:pPr>
    </w:p>
    <w:p w14:paraId="6F185562" w14:textId="48A5CF75" w:rsidR="00C773EA" w:rsidRPr="00B04101" w:rsidRDefault="005400FD" w:rsidP="00A40E59">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To make Polic</w:t>
      </w:r>
      <w:r w:rsidR="00057DED" w:rsidRPr="00B04101">
        <w:rPr>
          <w:rFonts w:asciiTheme="majorHAnsi" w:hAnsiTheme="majorHAnsi"/>
          <w:b/>
          <w:bCs/>
          <w:color w:val="002060"/>
          <w:sz w:val="22"/>
          <w:szCs w:val="22"/>
        </w:rPr>
        <w:t xml:space="preserve">y </w:t>
      </w:r>
      <w:r w:rsidRPr="00B04101">
        <w:rPr>
          <w:rFonts w:asciiTheme="majorHAnsi" w:hAnsiTheme="majorHAnsi"/>
          <w:b/>
          <w:bCs/>
          <w:color w:val="002060"/>
          <w:sz w:val="22"/>
          <w:szCs w:val="22"/>
        </w:rPr>
        <w:t xml:space="preserve">DM06 sound </w:t>
      </w:r>
      <w:r w:rsidR="00057DED" w:rsidRPr="00B04101">
        <w:rPr>
          <w:rFonts w:asciiTheme="majorHAnsi" w:hAnsiTheme="majorHAnsi"/>
          <w:b/>
          <w:bCs/>
          <w:color w:val="002060"/>
          <w:sz w:val="22"/>
          <w:szCs w:val="22"/>
        </w:rPr>
        <w:t xml:space="preserve">the draft Local Plan should be </w:t>
      </w:r>
      <w:r w:rsidR="00190BD0" w:rsidRPr="00B04101">
        <w:rPr>
          <w:rFonts w:asciiTheme="majorHAnsi" w:hAnsiTheme="majorHAnsi"/>
          <w:b/>
          <w:bCs/>
          <w:color w:val="002060"/>
          <w:sz w:val="22"/>
          <w:szCs w:val="22"/>
        </w:rPr>
        <w:t>amended,</w:t>
      </w:r>
      <w:r w:rsidR="00930EA9" w:rsidRPr="00B04101">
        <w:rPr>
          <w:rFonts w:asciiTheme="majorHAnsi" w:hAnsiTheme="majorHAnsi"/>
          <w:b/>
          <w:bCs/>
          <w:color w:val="002060"/>
          <w:sz w:val="22"/>
          <w:szCs w:val="22"/>
        </w:rPr>
        <w:t xml:space="preserve"> and a revised Policy </w:t>
      </w:r>
      <w:r w:rsidR="00856CDC" w:rsidRPr="00B04101">
        <w:rPr>
          <w:rFonts w:asciiTheme="majorHAnsi" w:hAnsiTheme="majorHAnsi"/>
          <w:b/>
          <w:bCs/>
          <w:color w:val="002060"/>
          <w:sz w:val="22"/>
          <w:szCs w:val="22"/>
        </w:rPr>
        <w:t>should state</w:t>
      </w:r>
      <w:r w:rsidR="00162CCC" w:rsidRPr="00B04101">
        <w:rPr>
          <w:rFonts w:asciiTheme="majorHAnsi" w:hAnsiTheme="majorHAnsi"/>
          <w:b/>
          <w:bCs/>
          <w:color w:val="002060"/>
          <w:sz w:val="22"/>
          <w:szCs w:val="22"/>
        </w:rPr>
        <w:t>:</w:t>
      </w:r>
    </w:p>
    <w:p w14:paraId="7C557BD3" w14:textId="77777777" w:rsidR="00162CCC" w:rsidRPr="00B04101" w:rsidRDefault="00162CCC" w:rsidP="00A40E59">
      <w:pPr>
        <w:spacing w:after="0" w:line="276" w:lineRule="auto"/>
        <w:rPr>
          <w:rFonts w:asciiTheme="majorHAnsi" w:hAnsiTheme="majorHAnsi"/>
          <w:b/>
          <w:bCs/>
          <w:color w:val="002060"/>
          <w:sz w:val="22"/>
          <w:szCs w:val="22"/>
        </w:rPr>
      </w:pPr>
    </w:p>
    <w:p w14:paraId="582391C1" w14:textId="77777777" w:rsidR="00162CCC" w:rsidRPr="00181A69" w:rsidRDefault="00162CCC" w:rsidP="00162CCC">
      <w:pPr>
        <w:rPr>
          <w:rFonts w:asciiTheme="majorHAnsi" w:hAnsiTheme="majorHAnsi"/>
          <w:b/>
          <w:bCs/>
          <w:color w:val="002060"/>
          <w:sz w:val="22"/>
          <w:szCs w:val="22"/>
        </w:rPr>
      </w:pPr>
      <w:r w:rsidRPr="00181A69">
        <w:rPr>
          <w:rFonts w:asciiTheme="majorHAnsi" w:hAnsiTheme="majorHAnsi"/>
          <w:b/>
          <w:bCs/>
          <w:color w:val="002060"/>
          <w:sz w:val="22"/>
          <w:szCs w:val="22"/>
        </w:rPr>
        <w:t xml:space="preserve">Policy DM06: Transport and Accessibility </w:t>
      </w:r>
    </w:p>
    <w:p w14:paraId="679B7BB8" w14:textId="77777777" w:rsidR="00162CCC" w:rsidRPr="00B04101" w:rsidRDefault="00162CCC" w:rsidP="00162CCC">
      <w:pPr>
        <w:rPr>
          <w:rFonts w:asciiTheme="majorHAnsi" w:hAnsiTheme="majorHAnsi"/>
          <w:b/>
          <w:bCs/>
          <w:color w:val="002060"/>
          <w:sz w:val="22"/>
          <w:szCs w:val="22"/>
        </w:rPr>
      </w:pPr>
      <w:r w:rsidRPr="00B04101">
        <w:rPr>
          <w:rFonts w:asciiTheme="majorHAnsi" w:hAnsiTheme="majorHAnsi"/>
          <w:b/>
          <w:bCs/>
          <w:color w:val="002060"/>
          <w:sz w:val="22"/>
          <w:szCs w:val="22"/>
        </w:rPr>
        <w:t>1. Development will be permitted, subject to:</w:t>
      </w:r>
    </w:p>
    <w:p w14:paraId="52E61D2E" w14:textId="77777777" w:rsidR="00162CCC" w:rsidRPr="00B04101" w:rsidRDefault="00162CCC" w:rsidP="00162CCC">
      <w:pPr>
        <w:pStyle w:val="ListParagraph"/>
        <w:numPr>
          <w:ilvl w:val="0"/>
          <w:numId w:val="15"/>
        </w:numPr>
        <w:rPr>
          <w:rFonts w:asciiTheme="majorHAnsi" w:hAnsiTheme="majorHAnsi"/>
          <w:b/>
          <w:bCs/>
          <w:color w:val="002060"/>
          <w:sz w:val="22"/>
          <w:szCs w:val="22"/>
        </w:rPr>
      </w:pPr>
      <w:r w:rsidRPr="00B04101">
        <w:rPr>
          <w:rFonts w:asciiTheme="majorHAnsi" w:hAnsiTheme="majorHAnsi"/>
          <w:b/>
          <w:bCs/>
          <w:color w:val="002060"/>
          <w:sz w:val="22"/>
          <w:szCs w:val="22"/>
        </w:rPr>
        <w:t>prioritising sustainable travel modes above use of the private car, encouraging walking and cycling over cars for short journeys, and</w:t>
      </w:r>
    </w:p>
    <w:p w14:paraId="60FA57A8" w14:textId="77777777" w:rsidR="00162CCC" w:rsidRPr="00B04101" w:rsidRDefault="00162CCC" w:rsidP="00162CCC">
      <w:pPr>
        <w:pStyle w:val="ListParagraph"/>
        <w:numPr>
          <w:ilvl w:val="0"/>
          <w:numId w:val="15"/>
        </w:numPr>
        <w:rPr>
          <w:rFonts w:asciiTheme="majorHAnsi" w:hAnsiTheme="majorHAnsi"/>
          <w:b/>
          <w:bCs/>
          <w:color w:val="002060"/>
          <w:sz w:val="22"/>
          <w:szCs w:val="22"/>
        </w:rPr>
      </w:pPr>
      <w:r w:rsidRPr="00181A69">
        <w:rPr>
          <w:rFonts w:asciiTheme="majorHAnsi" w:hAnsiTheme="majorHAnsi"/>
          <w:b/>
          <w:bCs/>
          <w:color w:val="002060"/>
          <w:sz w:val="22"/>
          <w:szCs w:val="22"/>
        </w:rPr>
        <w:t>ensuring the safe, connected and convenient movement across the transport network</w:t>
      </w:r>
      <w:r w:rsidRPr="00B04101">
        <w:rPr>
          <w:rFonts w:asciiTheme="majorHAnsi" w:hAnsiTheme="majorHAnsi"/>
          <w:b/>
          <w:bCs/>
          <w:color w:val="002060"/>
          <w:sz w:val="22"/>
          <w:szCs w:val="22"/>
        </w:rPr>
        <w:t>, accessible to all users</w:t>
      </w:r>
      <w:r w:rsidRPr="00181A69">
        <w:rPr>
          <w:rFonts w:asciiTheme="majorHAnsi" w:hAnsiTheme="majorHAnsi"/>
          <w:b/>
          <w:bCs/>
          <w:color w:val="002060"/>
          <w:sz w:val="22"/>
          <w:szCs w:val="22"/>
        </w:rPr>
        <w:t xml:space="preserve">, including </w:t>
      </w:r>
      <w:r w:rsidRPr="00B04101">
        <w:rPr>
          <w:rFonts w:asciiTheme="majorHAnsi" w:hAnsiTheme="majorHAnsi"/>
          <w:b/>
          <w:bCs/>
          <w:color w:val="002060"/>
          <w:sz w:val="22"/>
          <w:szCs w:val="22"/>
        </w:rPr>
        <w:t>a joined-up network of walking and cycling links and new or enhanced public transport services, and</w:t>
      </w:r>
    </w:p>
    <w:p w14:paraId="7F01C216" w14:textId="77777777" w:rsidR="00162CCC" w:rsidRPr="00B04101" w:rsidRDefault="00162CCC" w:rsidP="00162CCC">
      <w:pPr>
        <w:pStyle w:val="ListParagraph"/>
        <w:numPr>
          <w:ilvl w:val="0"/>
          <w:numId w:val="15"/>
        </w:numPr>
        <w:rPr>
          <w:rFonts w:asciiTheme="majorHAnsi" w:hAnsiTheme="majorHAnsi"/>
          <w:b/>
          <w:bCs/>
          <w:color w:val="002060"/>
          <w:sz w:val="22"/>
          <w:szCs w:val="22"/>
        </w:rPr>
      </w:pPr>
      <w:r w:rsidRPr="00181A69">
        <w:rPr>
          <w:rFonts w:asciiTheme="majorHAnsi" w:hAnsiTheme="majorHAnsi"/>
          <w:b/>
          <w:bCs/>
          <w:color w:val="002060"/>
          <w:sz w:val="22"/>
          <w:szCs w:val="22"/>
        </w:rPr>
        <w:t xml:space="preserve">providing safe access, servicing and parking arrangements as defined in this policy and having regard to Highway Authority guidance and standards; and </w:t>
      </w:r>
    </w:p>
    <w:p w14:paraId="017FC214" w14:textId="77777777" w:rsidR="00162CCC" w:rsidRPr="00181A69" w:rsidRDefault="00162CCC" w:rsidP="00162CCC">
      <w:pPr>
        <w:pStyle w:val="ListParagraph"/>
        <w:numPr>
          <w:ilvl w:val="0"/>
          <w:numId w:val="15"/>
        </w:numPr>
        <w:rPr>
          <w:rFonts w:asciiTheme="majorHAnsi" w:hAnsiTheme="majorHAnsi"/>
          <w:b/>
          <w:bCs/>
          <w:color w:val="002060"/>
          <w:sz w:val="22"/>
          <w:szCs w:val="22"/>
        </w:rPr>
      </w:pPr>
      <w:r w:rsidRPr="00181A69">
        <w:rPr>
          <w:rFonts w:asciiTheme="majorHAnsi" w:hAnsiTheme="majorHAnsi"/>
          <w:b/>
          <w:bCs/>
          <w:color w:val="002060"/>
          <w:sz w:val="22"/>
          <w:szCs w:val="22"/>
        </w:rPr>
        <w:t xml:space="preserve">ensuring that additional traffic movements are not detrimental to highway safety or result in the residual cumulative impact on the road network being severe. </w:t>
      </w:r>
    </w:p>
    <w:p w14:paraId="1376B5CB" w14:textId="772F0460" w:rsidR="00F8335E" w:rsidRPr="00B04101" w:rsidRDefault="00C773EA" w:rsidP="00162CCC">
      <w:pPr>
        <w:spacing w:after="0" w:line="276" w:lineRule="auto"/>
        <w:rPr>
          <w:rFonts w:asciiTheme="majorHAnsi" w:hAnsiTheme="majorHAnsi"/>
          <w:color w:val="002060"/>
          <w:sz w:val="22"/>
          <w:szCs w:val="22"/>
        </w:rPr>
      </w:pPr>
      <w:r w:rsidRPr="00B04101">
        <w:rPr>
          <w:rFonts w:asciiTheme="majorHAnsi" w:hAnsiTheme="majorHAnsi"/>
          <w:b/>
          <w:bCs/>
          <w:color w:val="002060"/>
          <w:sz w:val="22"/>
          <w:szCs w:val="22"/>
        </w:rPr>
        <w:t xml:space="preserve">In ‘Our reasons for this Policy’, </w:t>
      </w:r>
      <w:r w:rsidR="00EF6508" w:rsidRPr="00B04101">
        <w:rPr>
          <w:rFonts w:asciiTheme="majorHAnsi" w:hAnsiTheme="majorHAnsi"/>
          <w:b/>
          <w:bCs/>
          <w:color w:val="002060"/>
          <w:sz w:val="22"/>
          <w:szCs w:val="22"/>
        </w:rPr>
        <w:t xml:space="preserve">prior to </w:t>
      </w:r>
      <w:r w:rsidRPr="00B04101">
        <w:rPr>
          <w:rFonts w:asciiTheme="majorHAnsi" w:hAnsiTheme="majorHAnsi"/>
          <w:b/>
          <w:bCs/>
          <w:color w:val="002060"/>
          <w:sz w:val="22"/>
          <w:szCs w:val="22"/>
        </w:rPr>
        <w:t xml:space="preserve">Para </w:t>
      </w:r>
      <w:r w:rsidR="00EF6508" w:rsidRPr="00B04101">
        <w:rPr>
          <w:rFonts w:asciiTheme="majorHAnsi" w:hAnsiTheme="majorHAnsi"/>
          <w:b/>
          <w:bCs/>
          <w:color w:val="002060"/>
          <w:sz w:val="22"/>
          <w:szCs w:val="22"/>
        </w:rPr>
        <w:t>8.22</w:t>
      </w:r>
      <w:r w:rsidR="0096033C" w:rsidRPr="00B04101">
        <w:rPr>
          <w:rFonts w:asciiTheme="majorHAnsi" w:hAnsiTheme="majorHAnsi"/>
          <w:b/>
          <w:bCs/>
          <w:color w:val="002060"/>
          <w:sz w:val="22"/>
          <w:szCs w:val="22"/>
        </w:rPr>
        <w:t xml:space="preserve">, a new </w:t>
      </w:r>
      <w:r w:rsidR="00D464FD" w:rsidRPr="00B04101">
        <w:rPr>
          <w:rFonts w:asciiTheme="majorHAnsi" w:hAnsiTheme="majorHAnsi"/>
          <w:b/>
          <w:bCs/>
          <w:color w:val="002060"/>
          <w:sz w:val="22"/>
          <w:szCs w:val="22"/>
        </w:rPr>
        <w:t xml:space="preserve">paragraph should be inserted establishing </w:t>
      </w:r>
      <w:r w:rsidR="00F8335E" w:rsidRPr="00B04101">
        <w:rPr>
          <w:rFonts w:asciiTheme="majorHAnsi" w:hAnsiTheme="majorHAnsi"/>
          <w:b/>
          <w:bCs/>
          <w:color w:val="002060"/>
          <w:sz w:val="22"/>
          <w:szCs w:val="22"/>
        </w:rPr>
        <w:t>the principle of a Sustainable Transport Hierarchy and mak</w:t>
      </w:r>
      <w:r w:rsidR="00D464FD" w:rsidRPr="00B04101">
        <w:rPr>
          <w:rFonts w:asciiTheme="majorHAnsi" w:hAnsiTheme="majorHAnsi"/>
          <w:b/>
          <w:bCs/>
          <w:color w:val="002060"/>
          <w:sz w:val="22"/>
          <w:szCs w:val="22"/>
        </w:rPr>
        <w:t>ing</w:t>
      </w:r>
      <w:r w:rsidR="00F8335E" w:rsidRPr="00B04101">
        <w:rPr>
          <w:rFonts w:asciiTheme="majorHAnsi" w:hAnsiTheme="majorHAnsi"/>
          <w:b/>
          <w:bCs/>
          <w:color w:val="002060"/>
          <w:sz w:val="22"/>
          <w:szCs w:val="22"/>
        </w:rPr>
        <w:t xml:space="preserve"> it a requirement to be delivered within all future developments and in any relevant site allocation policies. As travel infrastructure is far more challenging to incorporate at later stages, </w:t>
      </w:r>
      <w:r w:rsidR="00D464FD" w:rsidRPr="00B04101">
        <w:rPr>
          <w:rFonts w:asciiTheme="majorHAnsi" w:hAnsiTheme="majorHAnsi"/>
          <w:b/>
          <w:bCs/>
          <w:color w:val="002060"/>
          <w:sz w:val="22"/>
          <w:szCs w:val="22"/>
        </w:rPr>
        <w:t xml:space="preserve">it </w:t>
      </w:r>
      <w:r w:rsidR="00F8335E" w:rsidRPr="00B04101">
        <w:rPr>
          <w:rFonts w:asciiTheme="majorHAnsi" w:hAnsiTheme="majorHAnsi"/>
          <w:b/>
          <w:bCs/>
          <w:color w:val="002060"/>
          <w:sz w:val="22"/>
          <w:szCs w:val="22"/>
        </w:rPr>
        <w:t>should also require the sustainable transport hierarchy to be considered at the commencement of any development or master planning process</w:t>
      </w:r>
      <w:r w:rsidR="00F8335E" w:rsidRPr="00B04101">
        <w:rPr>
          <w:rFonts w:asciiTheme="majorHAnsi" w:hAnsiTheme="majorHAnsi"/>
          <w:color w:val="002060"/>
          <w:sz w:val="22"/>
          <w:szCs w:val="22"/>
        </w:rPr>
        <w:t>.</w:t>
      </w:r>
    </w:p>
    <w:p w14:paraId="5BF60A18" w14:textId="71DAEEEF" w:rsidR="00765556" w:rsidRPr="00B04101" w:rsidRDefault="00765556" w:rsidP="00162CCC">
      <w:pPr>
        <w:pStyle w:val="ListParagraph"/>
        <w:spacing w:after="0" w:line="276" w:lineRule="auto"/>
        <w:ind w:left="1080"/>
        <w:rPr>
          <w:rFonts w:asciiTheme="majorHAnsi" w:hAnsiTheme="majorHAnsi"/>
          <w:color w:val="002060"/>
          <w:sz w:val="22"/>
          <w:szCs w:val="22"/>
        </w:rPr>
      </w:pPr>
    </w:p>
    <w:p w14:paraId="3A4036C5" w14:textId="77777777" w:rsidR="00942DE2" w:rsidRPr="00B04101" w:rsidRDefault="00942DE2" w:rsidP="00A40E59">
      <w:pPr>
        <w:spacing w:after="0" w:line="276" w:lineRule="auto"/>
        <w:rPr>
          <w:rFonts w:asciiTheme="majorHAnsi" w:hAnsiTheme="majorHAnsi"/>
          <w:color w:val="002060"/>
          <w:sz w:val="22"/>
          <w:szCs w:val="22"/>
        </w:rPr>
      </w:pPr>
    </w:p>
    <w:p w14:paraId="2F8A8B7C" w14:textId="02488A88" w:rsidR="00942DE2" w:rsidRPr="00B04101" w:rsidRDefault="00F7492C" w:rsidP="00A40E59">
      <w:pPr>
        <w:spacing w:after="0" w:line="276" w:lineRule="auto"/>
        <w:rPr>
          <w:rFonts w:asciiTheme="majorHAnsi" w:hAnsiTheme="majorHAnsi"/>
          <w:b/>
          <w:bCs/>
          <w:color w:val="002060"/>
          <w:sz w:val="28"/>
          <w:szCs w:val="28"/>
        </w:rPr>
      </w:pPr>
      <w:r>
        <w:rPr>
          <w:rFonts w:asciiTheme="majorHAnsi" w:hAnsiTheme="majorHAnsi"/>
          <w:b/>
          <w:bCs/>
          <w:color w:val="002060"/>
          <w:sz w:val="28"/>
          <w:szCs w:val="28"/>
        </w:rPr>
        <w:t>2</w:t>
      </w:r>
      <w:r w:rsidR="009D486F" w:rsidRPr="00B04101">
        <w:rPr>
          <w:rFonts w:asciiTheme="majorHAnsi" w:hAnsiTheme="majorHAnsi"/>
          <w:b/>
          <w:bCs/>
          <w:color w:val="002060"/>
          <w:sz w:val="28"/>
          <w:szCs w:val="28"/>
        </w:rPr>
        <w:t xml:space="preserve">. </w:t>
      </w:r>
      <w:r w:rsidR="00613800" w:rsidRPr="00B04101">
        <w:rPr>
          <w:rFonts w:asciiTheme="majorHAnsi" w:hAnsiTheme="majorHAnsi"/>
          <w:b/>
          <w:bCs/>
          <w:color w:val="002060"/>
          <w:sz w:val="28"/>
          <w:szCs w:val="28"/>
        </w:rPr>
        <w:t>Policy DM06 –</w:t>
      </w:r>
      <w:r w:rsidR="00BE5D7B">
        <w:rPr>
          <w:rFonts w:asciiTheme="majorHAnsi" w:hAnsiTheme="majorHAnsi"/>
          <w:b/>
          <w:bCs/>
          <w:color w:val="002060"/>
          <w:sz w:val="28"/>
          <w:szCs w:val="28"/>
        </w:rPr>
        <w:t xml:space="preserve"> adoption of</w:t>
      </w:r>
      <w:r w:rsidR="00B97A74">
        <w:rPr>
          <w:rFonts w:asciiTheme="majorHAnsi" w:hAnsiTheme="majorHAnsi"/>
          <w:b/>
          <w:bCs/>
          <w:color w:val="002060"/>
          <w:sz w:val="28"/>
          <w:szCs w:val="28"/>
        </w:rPr>
        <w:t xml:space="preserve"> a</w:t>
      </w:r>
      <w:r w:rsidR="00BE5D7B">
        <w:rPr>
          <w:rFonts w:asciiTheme="majorHAnsi" w:hAnsiTheme="majorHAnsi"/>
          <w:b/>
          <w:bCs/>
          <w:color w:val="002060"/>
          <w:sz w:val="28"/>
          <w:szCs w:val="28"/>
        </w:rPr>
        <w:t xml:space="preserve"> </w:t>
      </w:r>
      <w:r w:rsidR="00B97A74" w:rsidRPr="00B04101">
        <w:rPr>
          <w:rFonts w:asciiTheme="majorHAnsi" w:hAnsiTheme="majorHAnsi"/>
          <w:b/>
          <w:bCs/>
          <w:color w:val="002060"/>
          <w:sz w:val="28"/>
          <w:szCs w:val="28"/>
        </w:rPr>
        <w:t>Vision-led approach to transport planning</w:t>
      </w:r>
      <w:r w:rsidR="00B97A74">
        <w:rPr>
          <w:rFonts w:asciiTheme="majorHAnsi" w:hAnsiTheme="majorHAnsi"/>
          <w:b/>
          <w:bCs/>
          <w:color w:val="002060"/>
          <w:sz w:val="28"/>
          <w:szCs w:val="28"/>
        </w:rPr>
        <w:t xml:space="preserve">, </w:t>
      </w:r>
      <w:proofErr w:type="gramStart"/>
      <w:r w:rsidR="00B97A74">
        <w:rPr>
          <w:rFonts w:asciiTheme="majorHAnsi" w:hAnsiTheme="majorHAnsi"/>
          <w:b/>
          <w:bCs/>
          <w:color w:val="002060"/>
          <w:sz w:val="28"/>
          <w:szCs w:val="28"/>
        </w:rPr>
        <w:t xml:space="preserve">and </w:t>
      </w:r>
      <w:r w:rsidR="00613800" w:rsidRPr="00B04101">
        <w:rPr>
          <w:rFonts w:asciiTheme="majorHAnsi" w:hAnsiTheme="majorHAnsi"/>
          <w:b/>
          <w:bCs/>
          <w:color w:val="002060"/>
          <w:sz w:val="28"/>
          <w:szCs w:val="28"/>
        </w:rPr>
        <w:t xml:space="preserve"> strengthening</w:t>
      </w:r>
      <w:proofErr w:type="gramEnd"/>
      <w:r w:rsidR="00613800" w:rsidRPr="00B04101">
        <w:rPr>
          <w:rFonts w:asciiTheme="majorHAnsi" w:hAnsiTheme="majorHAnsi"/>
          <w:b/>
          <w:bCs/>
          <w:color w:val="002060"/>
          <w:sz w:val="28"/>
          <w:szCs w:val="28"/>
        </w:rPr>
        <w:t xml:space="preserve"> the commitment to </w:t>
      </w:r>
      <w:r w:rsidR="00BA1B05" w:rsidRPr="00B04101">
        <w:rPr>
          <w:rFonts w:asciiTheme="majorHAnsi" w:hAnsiTheme="majorHAnsi"/>
          <w:b/>
          <w:bCs/>
          <w:color w:val="002060"/>
          <w:sz w:val="28"/>
          <w:szCs w:val="28"/>
        </w:rPr>
        <w:t>Sustainable</w:t>
      </w:r>
      <w:r w:rsidR="00613800" w:rsidRPr="00B04101">
        <w:rPr>
          <w:rFonts w:asciiTheme="majorHAnsi" w:hAnsiTheme="majorHAnsi"/>
          <w:b/>
          <w:bCs/>
          <w:color w:val="002060"/>
          <w:sz w:val="28"/>
          <w:szCs w:val="28"/>
        </w:rPr>
        <w:t xml:space="preserve"> Transport</w:t>
      </w:r>
    </w:p>
    <w:p w14:paraId="40F8C64B" w14:textId="77777777" w:rsidR="00B97A74" w:rsidRPr="00B04101" w:rsidRDefault="00B97A74" w:rsidP="00B97A74">
      <w:pPr>
        <w:spacing w:after="0" w:line="276" w:lineRule="auto"/>
        <w:rPr>
          <w:rFonts w:asciiTheme="majorHAnsi" w:hAnsiTheme="majorHAnsi"/>
          <w:sz w:val="22"/>
          <w:szCs w:val="22"/>
        </w:rPr>
      </w:pPr>
      <w:r w:rsidRPr="00B04101">
        <w:rPr>
          <w:rFonts w:asciiTheme="majorHAnsi" w:hAnsiTheme="majorHAnsi"/>
          <w:sz w:val="22"/>
          <w:szCs w:val="22"/>
        </w:rPr>
        <w:t xml:space="preserve">The National Planning Policy Framework (NPPF, December 2024) states that </w:t>
      </w:r>
      <w:r w:rsidRPr="00B04101">
        <w:rPr>
          <w:rFonts w:asciiTheme="majorHAnsi" w:hAnsiTheme="majorHAnsi"/>
          <w:i/>
          <w:iCs/>
          <w:sz w:val="22"/>
          <w:szCs w:val="22"/>
        </w:rPr>
        <w:t>“109. Transport issues should be considered from the earliest stages of plan-making and development proposals, using a vision-led approach to identify transport solutions that deliver well-designed, sustainable and popular places.”</w:t>
      </w:r>
    </w:p>
    <w:p w14:paraId="22DC07A3" w14:textId="77777777" w:rsidR="00B97A74" w:rsidRPr="00B04101" w:rsidRDefault="00B97A74" w:rsidP="00B97A74">
      <w:pPr>
        <w:spacing w:after="0" w:line="276" w:lineRule="auto"/>
        <w:rPr>
          <w:rFonts w:asciiTheme="majorHAnsi" w:hAnsiTheme="majorHAnsi"/>
          <w:b/>
          <w:bCs/>
          <w:sz w:val="22"/>
          <w:szCs w:val="22"/>
        </w:rPr>
      </w:pPr>
    </w:p>
    <w:p w14:paraId="6E1DAA44" w14:textId="77777777" w:rsidR="00B97A74" w:rsidRPr="00B04101" w:rsidRDefault="00B97A74" w:rsidP="00B97A74">
      <w:pPr>
        <w:spacing w:after="0" w:line="276" w:lineRule="auto"/>
        <w:rPr>
          <w:rFonts w:asciiTheme="majorHAnsi" w:hAnsiTheme="majorHAnsi"/>
          <w:i/>
          <w:iCs/>
          <w:sz w:val="22"/>
          <w:szCs w:val="22"/>
        </w:rPr>
      </w:pPr>
      <w:r w:rsidRPr="00B04101">
        <w:rPr>
          <w:rFonts w:asciiTheme="majorHAnsi" w:hAnsiTheme="majorHAnsi"/>
          <w:sz w:val="22"/>
          <w:szCs w:val="22"/>
        </w:rPr>
        <w:t xml:space="preserve">In the Harborough Local Plan Strategic Transport Impact Assessment (January 2025) it states </w:t>
      </w:r>
      <w:r w:rsidRPr="00B04101">
        <w:rPr>
          <w:rFonts w:asciiTheme="majorHAnsi" w:hAnsiTheme="majorHAnsi"/>
          <w:i/>
          <w:iCs/>
          <w:sz w:val="22"/>
          <w:szCs w:val="22"/>
        </w:rPr>
        <w:t xml:space="preserve">“1.3.3 It is noted, however, that information within documents supporting the new LTP (such as the Bus Service Improvement Plan, Local Cycling and Walking Infrastructure Plan and proposed Multi Modal Area Investment Plans, MMAIPs) continue to evolve. It is also expected that transport consultants working with individual developers – particularly for the largest sites and those in urban areas – will work within this evolved policy context to identify site-specific proposals to maximise the use of sustainable transport. As such, whilst sustainable modes have been considered first within this STIA, it is recognised that more work will be required for each site (within a </w:t>
      </w:r>
      <w:proofErr w:type="gramStart"/>
      <w:r w:rsidRPr="00B04101">
        <w:rPr>
          <w:rFonts w:asciiTheme="majorHAnsi" w:hAnsiTheme="majorHAnsi"/>
          <w:i/>
          <w:iCs/>
          <w:sz w:val="22"/>
          <w:szCs w:val="22"/>
        </w:rPr>
        <w:t>site specific</w:t>
      </w:r>
      <w:proofErr w:type="gramEnd"/>
      <w:r w:rsidRPr="00B04101">
        <w:rPr>
          <w:rFonts w:asciiTheme="majorHAnsi" w:hAnsiTheme="majorHAnsi"/>
          <w:i/>
          <w:iCs/>
          <w:sz w:val="22"/>
          <w:szCs w:val="22"/>
        </w:rPr>
        <w:t xml:space="preserve"> TA) to fully adopt a Vision Led approach through to the build-out phase.”</w:t>
      </w:r>
    </w:p>
    <w:p w14:paraId="724F739B" w14:textId="77777777" w:rsidR="00B97A74" w:rsidRDefault="00B97A74" w:rsidP="00A40E59">
      <w:pPr>
        <w:spacing w:after="0" w:line="276" w:lineRule="auto"/>
        <w:rPr>
          <w:rFonts w:asciiTheme="majorHAnsi" w:hAnsiTheme="majorHAnsi"/>
          <w:sz w:val="22"/>
          <w:szCs w:val="22"/>
        </w:rPr>
      </w:pPr>
    </w:p>
    <w:p w14:paraId="538FC8A9" w14:textId="1348FE46" w:rsidR="00F8335E" w:rsidRPr="00B04101" w:rsidRDefault="00942DE2" w:rsidP="00A40E59">
      <w:pPr>
        <w:spacing w:after="0" w:line="276" w:lineRule="auto"/>
        <w:rPr>
          <w:rFonts w:asciiTheme="majorHAnsi" w:hAnsiTheme="majorHAnsi"/>
          <w:sz w:val="22"/>
          <w:szCs w:val="22"/>
        </w:rPr>
      </w:pPr>
      <w:r w:rsidRPr="00B04101">
        <w:rPr>
          <w:rFonts w:asciiTheme="majorHAnsi" w:hAnsiTheme="majorHAnsi"/>
          <w:sz w:val="22"/>
          <w:szCs w:val="22"/>
        </w:rPr>
        <w:t>The HDC Climate Change and Renewable Energy Study: Policy Review (October 2024) recommend</w:t>
      </w:r>
      <w:r w:rsidR="009D486F" w:rsidRPr="00B04101">
        <w:rPr>
          <w:rFonts w:asciiTheme="majorHAnsi" w:hAnsiTheme="majorHAnsi"/>
          <w:sz w:val="22"/>
          <w:szCs w:val="22"/>
        </w:rPr>
        <w:t>s</w:t>
      </w:r>
      <w:r w:rsidRPr="00B04101">
        <w:rPr>
          <w:rFonts w:asciiTheme="majorHAnsi" w:hAnsiTheme="majorHAnsi"/>
          <w:sz w:val="22"/>
          <w:szCs w:val="22"/>
        </w:rPr>
        <w:t xml:space="preserve"> </w:t>
      </w:r>
      <w:r w:rsidR="009D486F" w:rsidRPr="00B04101">
        <w:rPr>
          <w:rFonts w:asciiTheme="majorHAnsi" w:hAnsiTheme="majorHAnsi"/>
          <w:sz w:val="22"/>
          <w:szCs w:val="22"/>
        </w:rPr>
        <w:t xml:space="preserve">(Paragraph 120) </w:t>
      </w:r>
      <w:proofErr w:type="gramStart"/>
      <w:r w:rsidRPr="00B04101">
        <w:rPr>
          <w:rFonts w:asciiTheme="majorHAnsi" w:hAnsiTheme="majorHAnsi"/>
          <w:sz w:val="22"/>
          <w:szCs w:val="22"/>
        </w:rPr>
        <w:t>a number of</w:t>
      </w:r>
      <w:proofErr w:type="gramEnd"/>
      <w:r w:rsidRPr="00B04101">
        <w:rPr>
          <w:rFonts w:asciiTheme="majorHAnsi" w:hAnsiTheme="majorHAnsi"/>
          <w:sz w:val="22"/>
          <w:szCs w:val="22"/>
        </w:rPr>
        <w:t xml:space="preserve"> policy approaches to reducing carbon emissions in transport “should not be considered in isolation, but rather, as able to complement and/or supplement each other to strengthen the overall consideration for transport emission sand maximise the benefits to Harborough.”</w:t>
      </w:r>
    </w:p>
    <w:p w14:paraId="6C3A7802" w14:textId="77777777" w:rsidR="004A5738" w:rsidRDefault="004A5738" w:rsidP="00A40E59">
      <w:pPr>
        <w:spacing w:after="0" w:line="276" w:lineRule="auto"/>
        <w:rPr>
          <w:rFonts w:asciiTheme="majorHAnsi" w:hAnsiTheme="majorHAnsi"/>
          <w:sz w:val="22"/>
          <w:szCs w:val="22"/>
        </w:rPr>
      </w:pPr>
    </w:p>
    <w:p w14:paraId="275D6FFB" w14:textId="66BDAEF4" w:rsidR="009F0792" w:rsidRDefault="00AB4E06" w:rsidP="009F0792">
      <w:pPr>
        <w:spacing w:after="0" w:line="276" w:lineRule="auto"/>
        <w:rPr>
          <w:rFonts w:asciiTheme="majorHAnsi" w:hAnsiTheme="majorHAnsi"/>
          <w:b/>
          <w:bCs/>
          <w:color w:val="002060"/>
          <w:sz w:val="22"/>
          <w:szCs w:val="22"/>
        </w:rPr>
      </w:pPr>
      <w:r>
        <w:rPr>
          <w:rFonts w:asciiTheme="majorHAnsi" w:hAnsiTheme="majorHAnsi"/>
          <w:b/>
          <w:bCs/>
          <w:color w:val="002060"/>
          <w:sz w:val="22"/>
          <w:szCs w:val="22"/>
        </w:rPr>
        <w:t>The</w:t>
      </w:r>
      <w:r w:rsidR="009F0792" w:rsidRPr="00B04101">
        <w:rPr>
          <w:rFonts w:asciiTheme="majorHAnsi" w:hAnsiTheme="majorHAnsi"/>
          <w:b/>
          <w:bCs/>
          <w:color w:val="002060"/>
          <w:sz w:val="22"/>
          <w:szCs w:val="22"/>
        </w:rPr>
        <w:t xml:space="preserve"> failure to require a ‘vision-led’ approach to identify transport solutions</w:t>
      </w:r>
      <w:r w:rsidR="00E23344">
        <w:rPr>
          <w:rFonts w:asciiTheme="majorHAnsi" w:hAnsiTheme="majorHAnsi"/>
          <w:b/>
          <w:bCs/>
          <w:color w:val="002060"/>
          <w:sz w:val="22"/>
          <w:szCs w:val="22"/>
        </w:rPr>
        <w:t>, and</w:t>
      </w:r>
      <w:r>
        <w:rPr>
          <w:rFonts w:asciiTheme="majorHAnsi" w:hAnsiTheme="majorHAnsi"/>
          <w:b/>
          <w:bCs/>
          <w:color w:val="002060"/>
          <w:sz w:val="22"/>
          <w:szCs w:val="22"/>
        </w:rPr>
        <w:t xml:space="preserve"> to prioritise sustainable travel modes</w:t>
      </w:r>
      <w:r w:rsidR="00E23344">
        <w:rPr>
          <w:rFonts w:asciiTheme="majorHAnsi" w:hAnsiTheme="majorHAnsi"/>
          <w:b/>
          <w:bCs/>
          <w:color w:val="002060"/>
          <w:sz w:val="22"/>
          <w:szCs w:val="22"/>
        </w:rPr>
        <w:t xml:space="preserve"> </w:t>
      </w:r>
      <w:r w:rsidR="009F0792" w:rsidRPr="00B04101">
        <w:rPr>
          <w:rFonts w:asciiTheme="majorHAnsi" w:hAnsiTheme="majorHAnsi"/>
          <w:b/>
          <w:bCs/>
          <w:color w:val="002060"/>
          <w:sz w:val="22"/>
          <w:szCs w:val="22"/>
        </w:rPr>
        <w:t>in the Proposed Submission Draft Harborough Local Plan makes it unsound.</w:t>
      </w:r>
    </w:p>
    <w:p w14:paraId="6ACE5645" w14:textId="77777777" w:rsidR="00A96BDD" w:rsidRPr="00B04101" w:rsidRDefault="00A96BDD" w:rsidP="009F0792">
      <w:pPr>
        <w:spacing w:after="0" w:line="276" w:lineRule="auto"/>
        <w:rPr>
          <w:rFonts w:asciiTheme="majorHAnsi" w:hAnsiTheme="majorHAnsi"/>
          <w:b/>
          <w:bCs/>
          <w:color w:val="002060"/>
          <w:sz w:val="22"/>
          <w:szCs w:val="22"/>
        </w:rPr>
      </w:pPr>
    </w:p>
    <w:p w14:paraId="469DA6E2" w14:textId="673F043B" w:rsidR="009F0792" w:rsidRPr="00B04101" w:rsidRDefault="009F0792" w:rsidP="009F0792">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 xml:space="preserve">To make Policy DM06 sound, </w:t>
      </w:r>
      <w:r w:rsidR="00A96BDD">
        <w:rPr>
          <w:rFonts w:asciiTheme="majorHAnsi" w:hAnsiTheme="majorHAnsi"/>
          <w:b/>
          <w:bCs/>
          <w:color w:val="002060"/>
          <w:sz w:val="22"/>
          <w:szCs w:val="22"/>
        </w:rPr>
        <w:t xml:space="preserve">Para 2 </w:t>
      </w:r>
      <w:r w:rsidRPr="00B04101">
        <w:rPr>
          <w:rFonts w:asciiTheme="majorHAnsi" w:hAnsiTheme="majorHAnsi"/>
          <w:b/>
          <w:bCs/>
          <w:color w:val="002060"/>
          <w:sz w:val="22"/>
          <w:szCs w:val="22"/>
        </w:rPr>
        <w:t xml:space="preserve">should be amended </w:t>
      </w:r>
      <w:r w:rsidR="00E23344">
        <w:rPr>
          <w:rFonts w:asciiTheme="majorHAnsi" w:hAnsiTheme="majorHAnsi"/>
          <w:b/>
          <w:bCs/>
          <w:color w:val="002060"/>
          <w:sz w:val="22"/>
          <w:szCs w:val="22"/>
        </w:rPr>
        <w:t xml:space="preserve">and the following changes made to </w:t>
      </w:r>
      <w:proofErr w:type="spellStart"/>
      <w:r w:rsidR="00E23344">
        <w:rPr>
          <w:rFonts w:asciiTheme="majorHAnsi" w:hAnsiTheme="majorHAnsi"/>
          <w:b/>
          <w:bCs/>
          <w:color w:val="002060"/>
          <w:sz w:val="22"/>
          <w:szCs w:val="22"/>
        </w:rPr>
        <w:t>i</w:t>
      </w:r>
      <w:proofErr w:type="spellEnd"/>
      <w:r w:rsidR="00E23344">
        <w:rPr>
          <w:rFonts w:asciiTheme="majorHAnsi" w:hAnsiTheme="majorHAnsi"/>
          <w:b/>
          <w:bCs/>
          <w:color w:val="002060"/>
          <w:sz w:val="22"/>
          <w:szCs w:val="22"/>
        </w:rPr>
        <w:t xml:space="preserve">) </w:t>
      </w:r>
      <w:r w:rsidR="00E23344" w:rsidRPr="00B04101">
        <w:rPr>
          <w:rFonts w:asciiTheme="majorHAnsi" w:hAnsiTheme="majorHAnsi"/>
          <w:b/>
          <w:bCs/>
          <w:color w:val="002060"/>
          <w:sz w:val="22"/>
          <w:szCs w:val="22"/>
        </w:rPr>
        <w:t>require a vision-led approach to identify transport solutions that deliver well-designed, sustainable and popular places</w:t>
      </w:r>
      <w:r w:rsidR="00E23344">
        <w:rPr>
          <w:rFonts w:asciiTheme="majorHAnsi" w:hAnsiTheme="majorHAnsi"/>
          <w:b/>
          <w:bCs/>
          <w:color w:val="002060"/>
          <w:sz w:val="22"/>
          <w:szCs w:val="22"/>
        </w:rPr>
        <w:t xml:space="preserve"> and ii)</w:t>
      </w:r>
    </w:p>
    <w:p w14:paraId="17DD8482" w14:textId="77922C76" w:rsidR="00797343" w:rsidRPr="00B04101" w:rsidRDefault="00797343" w:rsidP="00797343">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prioritise sustainable travel modes as set out in NPPF Paragraph 11</w:t>
      </w:r>
      <w:r w:rsidR="00A16376" w:rsidRPr="00B04101">
        <w:rPr>
          <w:rFonts w:asciiTheme="majorHAnsi" w:hAnsiTheme="majorHAnsi"/>
          <w:b/>
          <w:bCs/>
          <w:color w:val="002060"/>
          <w:sz w:val="22"/>
          <w:szCs w:val="22"/>
        </w:rPr>
        <w:t xml:space="preserve">7 </w:t>
      </w:r>
    </w:p>
    <w:p w14:paraId="308D310D" w14:textId="77777777" w:rsidR="009B15E8" w:rsidRPr="00B04101" w:rsidRDefault="009B15E8" w:rsidP="00797343">
      <w:pPr>
        <w:spacing w:after="0" w:line="276" w:lineRule="auto"/>
        <w:rPr>
          <w:rFonts w:asciiTheme="majorHAnsi" w:hAnsiTheme="majorHAnsi"/>
          <w:b/>
          <w:bCs/>
          <w:color w:val="002060"/>
          <w:sz w:val="22"/>
          <w:szCs w:val="22"/>
        </w:rPr>
      </w:pPr>
    </w:p>
    <w:p w14:paraId="4842CBC6" w14:textId="06FFA176" w:rsidR="002D7058" w:rsidRPr="00B04101" w:rsidRDefault="007342CF" w:rsidP="00A40E59">
      <w:pPr>
        <w:spacing w:after="0" w:line="276" w:lineRule="auto"/>
        <w:rPr>
          <w:rFonts w:asciiTheme="majorHAnsi" w:hAnsiTheme="majorHAnsi"/>
          <w:i/>
          <w:iCs/>
          <w:color w:val="002060"/>
          <w:sz w:val="22"/>
          <w:szCs w:val="22"/>
        </w:rPr>
      </w:pPr>
      <w:r w:rsidRPr="00B04101">
        <w:rPr>
          <w:rFonts w:asciiTheme="majorHAnsi" w:hAnsiTheme="majorHAnsi"/>
          <w:i/>
          <w:iCs/>
          <w:color w:val="002060"/>
          <w:sz w:val="22"/>
          <w:szCs w:val="22"/>
        </w:rPr>
        <w:t>“</w:t>
      </w:r>
      <w:r w:rsidR="002D7058" w:rsidRPr="00B04101">
        <w:rPr>
          <w:rFonts w:asciiTheme="majorHAnsi" w:hAnsiTheme="majorHAnsi"/>
          <w:b/>
          <w:bCs/>
          <w:i/>
          <w:iCs/>
          <w:color w:val="002060"/>
          <w:sz w:val="22"/>
          <w:szCs w:val="22"/>
        </w:rPr>
        <w:t>Policy DM06: Transport and Accessibility</w:t>
      </w:r>
      <w:r w:rsidR="002D7058" w:rsidRPr="00B04101">
        <w:rPr>
          <w:rFonts w:asciiTheme="majorHAnsi" w:hAnsiTheme="majorHAnsi"/>
          <w:i/>
          <w:iCs/>
          <w:color w:val="002060"/>
          <w:sz w:val="22"/>
          <w:szCs w:val="22"/>
        </w:rPr>
        <w:t xml:space="preserve"> </w:t>
      </w:r>
    </w:p>
    <w:p w14:paraId="5943A1AC" w14:textId="26CFE80A" w:rsidR="002D7058" w:rsidRPr="00B04101" w:rsidRDefault="002D7058" w:rsidP="00A40E59">
      <w:pPr>
        <w:pStyle w:val="ListParagraph"/>
        <w:numPr>
          <w:ilvl w:val="0"/>
          <w:numId w:val="8"/>
        </w:numPr>
        <w:spacing w:after="0" w:line="276" w:lineRule="auto"/>
        <w:rPr>
          <w:rFonts w:asciiTheme="majorHAnsi" w:hAnsiTheme="majorHAnsi"/>
          <w:i/>
          <w:iCs/>
          <w:color w:val="002060"/>
          <w:sz w:val="22"/>
          <w:szCs w:val="22"/>
        </w:rPr>
      </w:pPr>
      <w:r w:rsidRPr="00B04101">
        <w:rPr>
          <w:rFonts w:asciiTheme="majorHAnsi" w:hAnsiTheme="majorHAnsi"/>
          <w:i/>
          <w:iCs/>
          <w:color w:val="002060"/>
          <w:sz w:val="22"/>
          <w:szCs w:val="22"/>
        </w:rPr>
        <w:t>All major development is required to</w:t>
      </w:r>
      <w:r w:rsidR="006A25AD" w:rsidRPr="00B04101">
        <w:rPr>
          <w:rFonts w:asciiTheme="majorHAnsi" w:hAnsiTheme="majorHAnsi"/>
          <w:i/>
          <w:iCs/>
          <w:color w:val="002060"/>
          <w:sz w:val="22"/>
          <w:szCs w:val="22"/>
        </w:rPr>
        <w:t xml:space="preserve"> </w:t>
      </w:r>
      <w:r w:rsidR="006A25AD" w:rsidRPr="009F6A4F">
        <w:rPr>
          <w:rFonts w:asciiTheme="majorHAnsi" w:hAnsiTheme="majorHAnsi"/>
          <w:b/>
          <w:bCs/>
          <w:i/>
          <w:iCs/>
          <w:color w:val="002060"/>
          <w:sz w:val="22"/>
          <w:szCs w:val="22"/>
        </w:rPr>
        <w:t>fully adopt a Vision Led approach and</w:t>
      </w:r>
      <w:r w:rsidR="006A25AD" w:rsidRPr="00B04101">
        <w:rPr>
          <w:rFonts w:asciiTheme="majorHAnsi" w:hAnsiTheme="majorHAnsi"/>
          <w:i/>
          <w:iCs/>
          <w:color w:val="002060"/>
          <w:sz w:val="22"/>
          <w:szCs w:val="22"/>
        </w:rPr>
        <w:t xml:space="preserve"> </w:t>
      </w:r>
      <w:r w:rsidRPr="00B04101">
        <w:rPr>
          <w:rFonts w:asciiTheme="majorHAnsi" w:hAnsiTheme="majorHAnsi"/>
          <w:i/>
          <w:iCs/>
          <w:color w:val="002060"/>
          <w:sz w:val="22"/>
          <w:szCs w:val="22"/>
        </w:rPr>
        <w:t xml:space="preserve">submit a Transport Assessment which considers the impact of development on the safe, efficient and reliable operation of the transport network. The assessment will also identify the mitigation required to ensure the impact is managed or mitigated effectively. All major development must also: </w:t>
      </w:r>
    </w:p>
    <w:p w14:paraId="129E22F2" w14:textId="24E967BC" w:rsidR="002D7058" w:rsidRPr="00B04101" w:rsidRDefault="002D7058" w:rsidP="00A67D72">
      <w:pPr>
        <w:numPr>
          <w:ilvl w:val="8"/>
          <w:numId w:val="7"/>
        </w:numPr>
        <w:spacing w:after="0" w:line="276" w:lineRule="auto"/>
        <w:rPr>
          <w:rFonts w:asciiTheme="majorHAnsi" w:hAnsiTheme="majorHAnsi"/>
          <w:i/>
          <w:iCs/>
          <w:color w:val="002060"/>
          <w:sz w:val="22"/>
          <w:szCs w:val="22"/>
        </w:rPr>
      </w:pPr>
      <w:r w:rsidRPr="00B04101">
        <w:rPr>
          <w:rFonts w:asciiTheme="majorHAnsi" w:hAnsiTheme="majorHAnsi"/>
          <w:i/>
          <w:iCs/>
          <w:color w:val="002060"/>
          <w:sz w:val="22"/>
          <w:szCs w:val="22"/>
        </w:rPr>
        <w:t>a) incorporate measures to facilitate and encourage safe access by cycle and on foot along with protection of, connection to and extension</w:t>
      </w:r>
      <w:r w:rsidRPr="00B04101">
        <w:rPr>
          <w:rFonts w:asciiTheme="majorHAnsi" w:hAnsiTheme="majorHAnsi"/>
          <w:i/>
          <w:iCs/>
          <w:strike/>
          <w:color w:val="002060"/>
          <w:sz w:val="22"/>
          <w:szCs w:val="22"/>
        </w:rPr>
        <w:t xml:space="preserve">, </w:t>
      </w:r>
      <w:r w:rsidRPr="00B04101">
        <w:rPr>
          <w:rFonts w:asciiTheme="majorHAnsi" w:hAnsiTheme="majorHAnsi"/>
          <w:b/>
          <w:bCs/>
          <w:i/>
          <w:iCs/>
          <w:strike/>
          <w:color w:val="002060"/>
          <w:sz w:val="22"/>
          <w:szCs w:val="22"/>
        </w:rPr>
        <w:t>where practicable,</w:t>
      </w:r>
      <w:r w:rsidRPr="00B04101">
        <w:rPr>
          <w:rFonts w:asciiTheme="majorHAnsi" w:hAnsiTheme="majorHAnsi"/>
          <w:i/>
          <w:iCs/>
          <w:color w:val="002060"/>
          <w:sz w:val="22"/>
          <w:szCs w:val="22"/>
        </w:rPr>
        <w:t xml:space="preserve"> of existing pedestrian</w:t>
      </w:r>
      <w:r w:rsidR="00942DE2" w:rsidRPr="00B04101">
        <w:rPr>
          <w:rFonts w:asciiTheme="majorHAnsi" w:hAnsiTheme="majorHAnsi"/>
          <w:i/>
          <w:iCs/>
          <w:color w:val="002060"/>
          <w:sz w:val="22"/>
          <w:szCs w:val="22"/>
        </w:rPr>
        <w:t xml:space="preserve"> </w:t>
      </w:r>
      <w:r w:rsidR="00942DE2" w:rsidRPr="00B04101">
        <w:rPr>
          <w:rFonts w:asciiTheme="majorHAnsi" w:hAnsiTheme="majorHAnsi"/>
          <w:b/>
          <w:bCs/>
          <w:i/>
          <w:iCs/>
          <w:color w:val="002060"/>
          <w:sz w:val="22"/>
          <w:szCs w:val="22"/>
        </w:rPr>
        <w:t>and</w:t>
      </w:r>
      <w:r w:rsidR="00942DE2" w:rsidRPr="00B04101">
        <w:rPr>
          <w:rFonts w:asciiTheme="majorHAnsi" w:hAnsiTheme="majorHAnsi"/>
          <w:i/>
          <w:iCs/>
          <w:color w:val="002060"/>
          <w:sz w:val="22"/>
          <w:szCs w:val="22"/>
        </w:rPr>
        <w:t xml:space="preserve"> </w:t>
      </w:r>
      <w:r w:rsidRPr="00B04101">
        <w:rPr>
          <w:rFonts w:asciiTheme="majorHAnsi" w:hAnsiTheme="majorHAnsi"/>
          <w:i/>
          <w:iCs/>
          <w:color w:val="002060"/>
          <w:sz w:val="22"/>
          <w:szCs w:val="22"/>
        </w:rPr>
        <w:t xml:space="preserve">cycle </w:t>
      </w:r>
      <w:r w:rsidRPr="00B04101">
        <w:rPr>
          <w:rFonts w:asciiTheme="majorHAnsi" w:hAnsiTheme="majorHAnsi"/>
          <w:b/>
          <w:bCs/>
          <w:i/>
          <w:iCs/>
          <w:strike/>
          <w:color w:val="002060"/>
          <w:sz w:val="22"/>
          <w:szCs w:val="22"/>
        </w:rPr>
        <w:t>and equestrian</w:t>
      </w:r>
      <w:r w:rsidRPr="00B04101">
        <w:rPr>
          <w:rFonts w:asciiTheme="majorHAnsi" w:hAnsiTheme="majorHAnsi"/>
          <w:i/>
          <w:iCs/>
          <w:color w:val="002060"/>
          <w:sz w:val="22"/>
          <w:szCs w:val="22"/>
        </w:rPr>
        <w:t xml:space="preserve"> routes</w:t>
      </w:r>
      <w:r w:rsidR="00942DE2" w:rsidRPr="00B04101">
        <w:rPr>
          <w:rFonts w:asciiTheme="majorHAnsi" w:hAnsiTheme="majorHAnsi"/>
          <w:i/>
          <w:iCs/>
          <w:color w:val="002060"/>
          <w:sz w:val="22"/>
          <w:szCs w:val="22"/>
        </w:rPr>
        <w:t xml:space="preserve">. </w:t>
      </w:r>
      <w:r w:rsidR="00942DE2" w:rsidRPr="00B04101">
        <w:rPr>
          <w:rFonts w:asciiTheme="majorHAnsi" w:hAnsiTheme="majorHAnsi"/>
          <w:b/>
          <w:bCs/>
          <w:i/>
          <w:iCs/>
          <w:color w:val="002060"/>
          <w:sz w:val="22"/>
          <w:szCs w:val="22"/>
        </w:rPr>
        <w:t xml:space="preserve">Networks and routes should </w:t>
      </w:r>
      <w:r w:rsidR="007342CF" w:rsidRPr="00B04101">
        <w:rPr>
          <w:rFonts w:asciiTheme="majorHAnsi" w:hAnsiTheme="majorHAnsi"/>
          <w:b/>
          <w:bCs/>
          <w:i/>
          <w:iCs/>
          <w:color w:val="002060"/>
          <w:sz w:val="22"/>
          <w:szCs w:val="22"/>
        </w:rPr>
        <w:t>be Coherent; Direct; Safe; Comfortable and Attractive as set out in LTN1/20 Cycle Infrastructure Design</w:t>
      </w:r>
      <w:r w:rsidR="00942DE2" w:rsidRPr="00B04101">
        <w:rPr>
          <w:rFonts w:asciiTheme="majorHAnsi" w:hAnsiTheme="majorHAnsi"/>
          <w:b/>
          <w:bCs/>
          <w:i/>
          <w:iCs/>
          <w:color w:val="002060"/>
          <w:sz w:val="22"/>
          <w:szCs w:val="22"/>
        </w:rPr>
        <w:t xml:space="preserve">. </w:t>
      </w:r>
    </w:p>
    <w:p w14:paraId="57AF6120" w14:textId="77777777" w:rsidR="002D7058" w:rsidRPr="00B04101" w:rsidRDefault="002D7058" w:rsidP="00504D45">
      <w:pPr>
        <w:numPr>
          <w:ilvl w:val="4"/>
          <w:numId w:val="7"/>
        </w:numPr>
        <w:spacing w:after="0" w:line="276" w:lineRule="auto"/>
        <w:rPr>
          <w:rFonts w:asciiTheme="majorHAnsi" w:hAnsiTheme="majorHAnsi"/>
          <w:i/>
          <w:iCs/>
          <w:color w:val="002060"/>
          <w:sz w:val="22"/>
          <w:szCs w:val="22"/>
        </w:rPr>
      </w:pPr>
      <w:r w:rsidRPr="00B04101">
        <w:rPr>
          <w:rFonts w:asciiTheme="majorHAnsi" w:hAnsiTheme="majorHAnsi"/>
          <w:i/>
          <w:iCs/>
          <w:color w:val="002060"/>
          <w:sz w:val="22"/>
          <w:szCs w:val="22"/>
        </w:rPr>
        <w:t xml:space="preserve">b) provide accessible cycle </w:t>
      </w:r>
      <w:proofErr w:type="gramStart"/>
      <w:r w:rsidRPr="00B04101">
        <w:rPr>
          <w:rFonts w:asciiTheme="majorHAnsi" w:hAnsiTheme="majorHAnsi"/>
          <w:i/>
          <w:iCs/>
          <w:color w:val="002060"/>
          <w:sz w:val="22"/>
          <w:szCs w:val="22"/>
        </w:rPr>
        <w:t>parking;</w:t>
      </w:r>
      <w:proofErr w:type="gramEnd"/>
      <w:r w:rsidRPr="00B04101">
        <w:rPr>
          <w:rFonts w:asciiTheme="majorHAnsi" w:hAnsiTheme="majorHAnsi"/>
          <w:i/>
          <w:iCs/>
          <w:color w:val="002060"/>
          <w:sz w:val="22"/>
          <w:szCs w:val="22"/>
        </w:rPr>
        <w:t xml:space="preserve"> </w:t>
      </w:r>
    </w:p>
    <w:p w14:paraId="7E2DDFD7" w14:textId="7D1B8D9D" w:rsidR="002D7058" w:rsidRPr="00B04101" w:rsidRDefault="002D7058" w:rsidP="00504D45">
      <w:pPr>
        <w:numPr>
          <w:ilvl w:val="4"/>
          <w:numId w:val="7"/>
        </w:numPr>
        <w:spacing w:after="0" w:line="276" w:lineRule="auto"/>
        <w:rPr>
          <w:rFonts w:asciiTheme="majorHAnsi" w:hAnsiTheme="majorHAnsi"/>
          <w:i/>
          <w:iCs/>
          <w:color w:val="002060"/>
          <w:sz w:val="22"/>
          <w:szCs w:val="22"/>
        </w:rPr>
      </w:pPr>
      <w:r w:rsidRPr="00B04101">
        <w:rPr>
          <w:rFonts w:asciiTheme="majorHAnsi" w:hAnsiTheme="majorHAnsi"/>
          <w:i/>
          <w:iCs/>
          <w:color w:val="002060"/>
          <w:sz w:val="22"/>
          <w:szCs w:val="22"/>
        </w:rPr>
        <w:t xml:space="preserve">c) deliver public transport enhancements </w:t>
      </w:r>
      <w:r w:rsidRPr="00B04101">
        <w:rPr>
          <w:rFonts w:asciiTheme="majorHAnsi" w:hAnsiTheme="majorHAnsi"/>
          <w:b/>
          <w:bCs/>
          <w:i/>
          <w:iCs/>
          <w:strike/>
          <w:color w:val="002060"/>
          <w:sz w:val="22"/>
          <w:szCs w:val="22"/>
        </w:rPr>
        <w:t>where feasible</w:t>
      </w:r>
      <w:r w:rsidRPr="00B04101">
        <w:rPr>
          <w:rFonts w:asciiTheme="majorHAnsi" w:hAnsiTheme="majorHAnsi"/>
          <w:i/>
          <w:iCs/>
          <w:color w:val="002060"/>
          <w:sz w:val="22"/>
          <w:szCs w:val="22"/>
        </w:rPr>
        <w:t xml:space="preserve"> to mitigate development impacts, including but not limited to bus routes</w:t>
      </w:r>
      <w:r w:rsidR="007342CF" w:rsidRPr="00B04101">
        <w:rPr>
          <w:rFonts w:asciiTheme="majorHAnsi" w:hAnsiTheme="majorHAnsi"/>
          <w:i/>
          <w:iCs/>
          <w:color w:val="002060"/>
          <w:sz w:val="22"/>
          <w:szCs w:val="22"/>
        </w:rPr>
        <w:t xml:space="preserve"> </w:t>
      </w:r>
      <w:r w:rsidR="007342CF" w:rsidRPr="00B04101">
        <w:rPr>
          <w:rFonts w:asciiTheme="majorHAnsi" w:hAnsiTheme="majorHAnsi"/>
          <w:b/>
          <w:bCs/>
          <w:i/>
          <w:iCs/>
          <w:color w:val="002060"/>
          <w:sz w:val="22"/>
          <w:szCs w:val="22"/>
        </w:rPr>
        <w:t>and timetable improvements</w:t>
      </w:r>
      <w:r w:rsidRPr="00B04101">
        <w:rPr>
          <w:rFonts w:asciiTheme="majorHAnsi" w:hAnsiTheme="majorHAnsi"/>
          <w:i/>
          <w:iCs/>
          <w:color w:val="002060"/>
          <w:sz w:val="22"/>
          <w:szCs w:val="22"/>
        </w:rPr>
        <w:t xml:space="preserve">, information and waiting facilities and </w:t>
      </w:r>
      <w:r w:rsidR="007342CF" w:rsidRPr="00B04101">
        <w:rPr>
          <w:rFonts w:asciiTheme="majorHAnsi" w:hAnsiTheme="majorHAnsi"/>
          <w:b/>
          <w:bCs/>
          <w:i/>
          <w:iCs/>
          <w:color w:val="002060"/>
          <w:sz w:val="22"/>
          <w:szCs w:val="22"/>
        </w:rPr>
        <w:t>behaviour change</w:t>
      </w:r>
      <w:r w:rsidR="007342CF" w:rsidRPr="00B04101">
        <w:rPr>
          <w:rFonts w:asciiTheme="majorHAnsi" w:hAnsiTheme="majorHAnsi"/>
          <w:i/>
          <w:iCs/>
          <w:color w:val="002060"/>
          <w:sz w:val="22"/>
          <w:szCs w:val="22"/>
        </w:rPr>
        <w:t xml:space="preserve"> </w:t>
      </w:r>
      <w:r w:rsidRPr="00B04101">
        <w:rPr>
          <w:rFonts w:asciiTheme="majorHAnsi" w:hAnsiTheme="majorHAnsi"/>
          <w:i/>
          <w:iCs/>
          <w:color w:val="002060"/>
          <w:sz w:val="22"/>
          <w:szCs w:val="22"/>
        </w:rPr>
        <w:t xml:space="preserve">measures to encourage public transport </w:t>
      </w:r>
      <w:proofErr w:type="gramStart"/>
      <w:r w:rsidRPr="00B04101">
        <w:rPr>
          <w:rFonts w:asciiTheme="majorHAnsi" w:hAnsiTheme="majorHAnsi"/>
          <w:i/>
          <w:iCs/>
          <w:color w:val="002060"/>
          <w:sz w:val="22"/>
          <w:szCs w:val="22"/>
        </w:rPr>
        <w:t>use;</w:t>
      </w:r>
      <w:proofErr w:type="gramEnd"/>
      <w:r w:rsidRPr="00B04101">
        <w:rPr>
          <w:rFonts w:asciiTheme="majorHAnsi" w:hAnsiTheme="majorHAnsi"/>
          <w:i/>
          <w:iCs/>
          <w:color w:val="002060"/>
          <w:sz w:val="22"/>
          <w:szCs w:val="22"/>
        </w:rPr>
        <w:t xml:space="preserve"> </w:t>
      </w:r>
    </w:p>
    <w:p w14:paraId="40F1256E" w14:textId="33CF8398" w:rsidR="002D7058" w:rsidRPr="00B04101" w:rsidRDefault="002D7058" w:rsidP="00360FCA">
      <w:pPr>
        <w:numPr>
          <w:ilvl w:val="4"/>
          <w:numId w:val="7"/>
        </w:numPr>
        <w:spacing w:after="0" w:line="276" w:lineRule="auto"/>
        <w:rPr>
          <w:rFonts w:asciiTheme="majorHAnsi" w:hAnsiTheme="majorHAnsi"/>
          <w:i/>
          <w:iCs/>
          <w:color w:val="002060"/>
          <w:sz w:val="22"/>
          <w:szCs w:val="22"/>
        </w:rPr>
      </w:pPr>
      <w:r w:rsidRPr="00B04101">
        <w:rPr>
          <w:rFonts w:asciiTheme="majorHAnsi" w:hAnsiTheme="majorHAnsi"/>
          <w:i/>
          <w:iCs/>
          <w:color w:val="002060"/>
          <w:sz w:val="22"/>
          <w:szCs w:val="22"/>
        </w:rPr>
        <w:t xml:space="preserve">d) </w:t>
      </w:r>
      <w:r w:rsidRPr="00B04101">
        <w:rPr>
          <w:rFonts w:asciiTheme="majorHAnsi" w:hAnsiTheme="majorHAnsi"/>
          <w:b/>
          <w:bCs/>
          <w:i/>
          <w:iCs/>
          <w:strike/>
          <w:color w:val="002060"/>
          <w:sz w:val="22"/>
          <w:szCs w:val="22"/>
        </w:rPr>
        <w:t>where appropriate, contribute to provision for the transport needs of specific groups in the community, such as the elderly and those with disabilities</w:t>
      </w:r>
      <w:r w:rsidR="009D486F" w:rsidRPr="00B04101">
        <w:rPr>
          <w:rFonts w:asciiTheme="majorHAnsi" w:hAnsiTheme="majorHAnsi"/>
          <w:b/>
          <w:bCs/>
          <w:i/>
          <w:iCs/>
          <w:strike/>
          <w:color w:val="002060"/>
          <w:sz w:val="22"/>
          <w:szCs w:val="22"/>
        </w:rPr>
        <w:t xml:space="preserve"> </w:t>
      </w:r>
      <w:r w:rsidR="00BA1B05" w:rsidRPr="00B04101">
        <w:rPr>
          <w:rFonts w:asciiTheme="majorHAnsi" w:hAnsiTheme="majorHAnsi"/>
          <w:b/>
          <w:bCs/>
          <w:i/>
          <w:iCs/>
          <w:color w:val="002060"/>
          <w:sz w:val="22"/>
          <w:szCs w:val="22"/>
        </w:rPr>
        <w:t xml:space="preserve">ensure that inclusive design and accessibility is prioritised, and that the transport needs of specific community groups, including the elderly and those with disabilities, are effectively </w:t>
      </w:r>
      <w:proofErr w:type="gramStart"/>
      <w:r w:rsidR="00BA1B05" w:rsidRPr="00B04101">
        <w:rPr>
          <w:rFonts w:asciiTheme="majorHAnsi" w:hAnsiTheme="majorHAnsi"/>
          <w:b/>
          <w:bCs/>
          <w:i/>
          <w:iCs/>
          <w:color w:val="002060"/>
          <w:sz w:val="22"/>
          <w:szCs w:val="22"/>
        </w:rPr>
        <w:t>met:</w:t>
      </w:r>
      <w:proofErr w:type="gramEnd"/>
      <w:r w:rsidR="00BA1B05" w:rsidRPr="00B04101">
        <w:rPr>
          <w:rFonts w:asciiTheme="majorHAnsi" w:hAnsiTheme="majorHAnsi"/>
          <w:b/>
          <w:bCs/>
          <w:i/>
          <w:iCs/>
          <w:color w:val="002060"/>
          <w:sz w:val="22"/>
          <w:szCs w:val="22"/>
        </w:rPr>
        <w:t xml:space="preserve"> </w:t>
      </w:r>
      <w:r w:rsidRPr="00B04101">
        <w:rPr>
          <w:rFonts w:asciiTheme="majorHAnsi" w:hAnsiTheme="majorHAnsi"/>
          <w:b/>
          <w:bCs/>
          <w:i/>
          <w:iCs/>
          <w:color w:val="002060"/>
          <w:sz w:val="22"/>
          <w:szCs w:val="22"/>
        </w:rPr>
        <w:t>and</w:t>
      </w:r>
      <w:r w:rsidRPr="00B04101">
        <w:rPr>
          <w:rFonts w:asciiTheme="majorHAnsi" w:hAnsiTheme="majorHAnsi"/>
          <w:i/>
          <w:iCs/>
          <w:color w:val="002060"/>
          <w:sz w:val="22"/>
          <w:szCs w:val="22"/>
        </w:rPr>
        <w:t xml:space="preserve"> </w:t>
      </w:r>
    </w:p>
    <w:p w14:paraId="7E35BD35" w14:textId="77777777" w:rsidR="002D7058" w:rsidRPr="00B04101" w:rsidRDefault="002D7058" w:rsidP="00504D45">
      <w:pPr>
        <w:pStyle w:val="Default"/>
        <w:numPr>
          <w:ilvl w:val="4"/>
          <w:numId w:val="7"/>
        </w:numPr>
        <w:spacing w:line="276" w:lineRule="auto"/>
        <w:rPr>
          <w:rFonts w:asciiTheme="majorHAnsi" w:hAnsiTheme="majorHAnsi"/>
          <w:i/>
          <w:iCs/>
          <w:color w:val="002060"/>
          <w:sz w:val="22"/>
          <w:szCs w:val="22"/>
        </w:rPr>
      </w:pPr>
      <w:r w:rsidRPr="00B04101">
        <w:rPr>
          <w:rFonts w:asciiTheme="majorHAnsi" w:hAnsiTheme="majorHAnsi"/>
          <w:i/>
          <w:iCs/>
          <w:color w:val="002060"/>
          <w:sz w:val="22"/>
          <w:szCs w:val="22"/>
        </w:rPr>
        <w:t xml:space="preserve">e) ensure car parking provision sufficient for the location and type of development, and make provision for Car Club spaces and EV charging points; and </w:t>
      </w:r>
    </w:p>
    <w:p w14:paraId="6EA888B2" w14:textId="442FFCCD" w:rsidR="002D7058" w:rsidRPr="00B04101" w:rsidRDefault="002D7058" w:rsidP="00504D45">
      <w:pPr>
        <w:pStyle w:val="Default"/>
        <w:numPr>
          <w:ilvl w:val="4"/>
          <w:numId w:val="7"/>
        </w:numPr>
        <w:spacing w:line="276" w:lineRule="auto"/>
        <w:rPr>
          <w:rFonts w:asciiTheme="majorHAnsi" w:hAnsiTheme="majorHAnsi"/>
          <w:i/>
          <w:iCs/>
          <w:color w:val="002060"/>
          <w:sz w:val="22"/>
          <w:szCs w:val="22"/>
        </w:rPr>
      </w:pPr>
      <w:r w:rsidRPr="00B04101">
        <w:rPr>
          <w:rFonts w:asciiTheme="majorHAnsi" w:hAnsiTheme="majorHAnsi"/>
          <w:i/>
          <w:iCs/>
          <w:color w:val="002060"/>
          <w:sz w:val="22"/>
          <w:szCs w:val="22"/>
        </w:rPr>
        <w:t xml:space="preserve">f) </w:t>
      </w:r>
      <w:r w:rsidRPr="00B04101">
        <w:rPr>
          <w:rFonts w:asciiTheme="majorHAnsi" w:hAnsiTheme="majorHAnsi"/>
          <w:b/>
          <w:bCs/>
          <w:i/>
          <w:iCs/>
          <w:strike/>
          <w:color w:val="002060"/>
          <w:sz w:val="22"/>
          <w:szCs w:val="22"/>
        </w:rPr>
        <w:t>mitigation for</w:t>
      </w:r>
      <w:r w:rsidRPr="00B04101">
        <w:rPr>
          <w:rFonts w:asciiTheme="majorHAnsi" w:hAnsiTheme="majorHAnsi"/>
          <w:i/>
          <w:iCs/>
          <w:color w:val="002060"/>
          <w:sz w:val="22"/>
          <w:szCs w:val="22"/>
        </w:rPr>
        <w:t xml:space="preserve"> </w:t>
      </w:r>
      <w:r w:rsidR="009D486F" w:rsidRPr="00B04101">
        <w:rPr>
          <w:rFonts w:asciiTheme="majorHAnsi" w:hAnsiTheme="majorHAnsi"/>
          <w:b/>
          <w:bCs/>
          <w:i/>
          <w:iCs/>
          <w:color w:val="002060"/>
          <w:sz w:val="22"/>
          <w:szCs w:val="22"/>
        </w:rPr>
        <w:t>mitigate</w:t>
      </w:r>
      <w:r w:rsidR="009D486F" w:rsidRPr="00B04101">
        <w:rPr>
          <w:rFonts w:asciiTheme="majorHAnsi" w:hAnsiTheme="majorHAnsi"/>
          <w:i/>
          <w:iCs/>
          <w:color w:val="002060"/>
          <w:sz w:val="22"/>
          <w:szCs w:val="22"/>
        </w:rPr>
        <w:t xml:space="preserve"> </w:t>
      </w:r>
      <w:r w:rsidRPr="00B04101">
        <w:rPr>
          <w:rFonts w:asciiTheme="majorHAnsi" w:hAnsiTheme="majorHAnsi"/>
          <w:i/>
          <w:iCs/>
          <w:color w:val="002060"/>
          <w:sz w:val="22"/>
          <w:szCs w:val="22"/>
        </w:rPr>
        <w:t>any adverse impact on residential amenity and air quality</w:t>
      </w:r>
      <w:r w:rsidRPr="00B04101">
        <w:rPr>
          <w:rFonts w:asciiTheme="majorHAnsi" w:hAnsiTheme="majorHAnsi"/>
          <w:i/>
          <w:iCs/>
          <w:strike/>
          <w:color w:val="002060"/>
          <w:sz w:val="22"/>
          <w:szCs w:val="22"/>
        </w:rPr>
        <w:t>,</w:t>
      </w:r>
      <w:r w:rsidRPr="00B04101">
        <w:rPr>
          <w:rFonts w:asciiTheme="majorHAnsi" w:hAnsiTheme="majorHAnsi"/>
          <w:b/>
          <w:bCs/>
          <w:i/>
          <w:iCs/>
          <w:strike/>
          <w:color w:val="002060"/>
          <w:sz w:val="22"/>
          <w:szCs w:val="22"/>
        </w:rPr>
        <w:t xml:space="preserve"> especially in Air Quality Management Areas.</w:t>
      </w:r>
      <w:r w:rsidRPr="00B04101">
        <w:rPr>
          <w:rFonts w:asciiTheme="majorHAnsi" w:hAnsiTheme="majorHAnsi"/>
          <w:i/>
          <w:iCs/>
          <w:color w:val="002060"/>
          <w:sz w:val="22"/>
          <w:szCs w:val="22"/>
        </w:rPr>
        <w:t xml:space="preserve"> </w:t>
      </w:r>
      <w:r w:rsidR="007342CF" w:rsidRPr="00B04101">
        <w:rPr>
          <w:rFonts w:asciiTheme="majorHAnsi" w:hAnsiTheme="majorHAnsi"/>
          <w:i/>
          <w:iCs/>
          <w:color w:val="002060"/>
          <w:sz w:val="22"/>
          <w:szCs w:val="22"/>
        </w:rPr>
        <w:t>“</w:t>
      </w:r>
    </w:p>
    <w:p w14:paraId="10B82EEA" w14:textId="77777777" w:rsidR="009819BE" w:rsidRPr="00B04101" w:rsidRDefault="009819BE" w:rsidP="00A40E59">
      <w:pPr>
        <w:spacing w:after="0" w:line="276" w:lineRule="auto"/>
        <w:rPr>
          <w:rFonts w:asciiTheme="majorHAnsi" w:hAnsiTheme="majorHAnsi"/>
          <w:b/>
          <w:bCs/>
          <w:color w:val="002060"/>
          <w:sz w:val="28"/>
          <w:szCs w:val="28"/>
        </w:rPr>
      </w:pPr>
    </w:p>
    <w:p w14:paraId="12D33A2F" w14:textId="2AF930B2" w:rsidR="009819BE" w:rsidRPr="00B04101" w:rsidRDefault="00F7492C" w:rsidP="009819BE">
      <w:pPr>
        <w:spacing w:after="0" w:line="276" w:lineRule="auto"/>
        <w:rPr>
          <w:rFonts w:asciiTheme="majorHAnsi" w:hAnsiTheme="majorHAnsi"/>
          <w:b/>
          <w:bCs/>
          <w:color w:val="002060"/>
          <w:sz w:val="28"/>
          <w:szCs w:val="28"/>
        </w:rPr>
      </w:pPr>
      <w:r>
        <w:rPr>
          <w:rFonts w:asciiTheme="majorHAnsi" w:hAnsiTheme="majorHAnsi"/>
          <w:b/>
          <w:bCs/>
          <w:color w:val="002060"/>
          <w:sz w:val="28"/>
          <w:szCs w:val="28"/>
        </w:rPr>
        <w:t>3</w:t>
      </w:r>
      <w:r w:rsidR="009819BE" w:rsidRPr="00B04101">
        <w:rPr>
          <w:rFonts w:asciiTheme="majorHAnsi" w:hAnsiTheme="majorHAnsi"/>
          <w:b/>
          <w:bCs/>
          <w:color w:val="002060"/>
          <w:sz w:val="28"/>
          <w:szCs w:val="28"/>
        </w:rPr>
        <w:t xml:space="preserve">.Policy SA03: North of Market Harborough  </w:t>
      </w:r>
    </w:p>
    <w:p w14:paraId="4C6BE5C1" w14:textId="056BAF49" w:rsidR="009819BE" w:rsidRPr="00B04101" w:rsidRDefault="009819BE" w:rsidP="009819BE">
      <w:pPr>
        <w:spacing w:after="0" w:line="276" w:lineRule="auto"/>
        <w:rPr>
          <w:rFonts w:asciiTheme="majorHAnsi" w:hAnsiTheme="majorHAnsi"/>
          <w:sz w:val="22"/>
          <w:szCs w:val="22"/>
        </w:rPr>
      </w:pPr>
      <w:r w:rsidRPr="00B04101">
        <w:rPr>
          <w:rFonts w:asciiTheme="majorHAnsi" w:hAnsiTheme="majorHAnsi"/>
          <w:sz w:val="22"/>
          <w:szCs w:val="22"/>
        </w:rPr>
        <w:t>The travel distance from the town centre to the median points of MH2 and MH3 is more than 2.7km, and the walking journey time is 32 minutes - downhill.  Travel time</w:t>
      </w:r>
      <w:r w:rsidR="00F013E7">
        <w:rPr>
          <w:rFonts w:asciiTheme="majorHAnsi" w:hAnsiTheme="majorHAnsi"/>
          <w:sz w:val="22"/>
          <w:szCs w:val="22"/>
        </w:rPr>
        <w:t>,</w:t>
      </w:r>
      <w:r w:rsidRPr="00B04101">
        <w:rPr>
          <w:rFonts w:asciiTheme="majorHAnsi" w:hAnsiTheme="majorHAnsi"/>
          <w:sz w:val="22"/>
          <w:szCs w:val="22"/>
        </w:rPr>
        <w:t xml:space="preserve"> uphill, from the town centre to the proposed developments would be greater</w:t>
      </w:r>
      <w:r w:rsidR="00B43EE8">
        <w:rPr>
          <w:rFonts w:asciiTheme="majorHAnsi" w:hAnsiTheme="majorHAnsi"/>
          <w:sz w:val="22"/>
          <w:szCs w:val="22"/>
        </w:rPr>
        <w:t xml:space="preserve"> still</w:t>
      </w:r>
      <w:r w:rsidRPr="00B04101">
        <w:rPr>
          <w:rFonts w:asciiTheme="majorHAnsi" w:hAnsiTheme="majorHAnsi"/>
          <w:sz w:val="22"/>
          <w:szCs w:val="22"/>
        </w:rPr>
        <w:t>.</w:t>
      </w:r>
    </w:p>
    <w:p w14:paraId="6259FE4B" w14:textId="77777777" w:rsidR="009819BE" w:rsidRPr="00B04101" w:rsidRDefault="009819BE" w:rsidP="009819BE">
      <w:pPr>
        <w:spacing w:after="0" w:line="276" w:lineRule="auto"/>
        <w:rPr>
          <w:rFonts w:asciiTheme="majorHAnsi" w:hAnsiTheme="majorHAnsi"/>
          <w:sz w:val="22"/>
          <w:szCs w:val="22"/>
        </w:rPr>
      </w:pPr>
    </w:p>
    <w:p w14:paraId="317D73A4" w14:textId="77777777" w:rsidR="009819BE" w:rsidRPr="00B04101" w:rsidRDefault="009819BE" w:rsidP="009819BE">
      <w:pPr>
        <w:spacing w:after="0" w:line="276" w:lineRule="auto"/>
        <w:rPr>
          <w:rFonts w:asciiTheme="majorHAnsi" w:hAnsiTheme="majorHAnsi"/>
          <w:i/>
          <w:iCs/>
          <w:sz w:val="22"/>
          <w:szCs w:val="22"/>
        </w:rPr>
      </w:pPr>
      <w:r w:rsidRPr="00B04101">
        <w:rPr>
          <w:rFonts w:asciiTheme="majorHAnsi" w:hAnsiTheme="majorHAnsi"/>
          <w:sz w:val="22"/>
          <w:szCs w:val="22"/>
        </w:rPr>
        <w:lastRenderedPageBreak/>
        <w:t>In the STIA Para 2.4.3 it notes “</w:t>
      </w:r>
      <w:r w:rsidRPr="00B04101">
        <w:rPr>
          <w:rFonts w:asciiTheme="majorHAnsi" w:hAnsiTheme="majorHAnsi"/>
          <w:i/>
          <w:iCs/>
          <w:sz w:val="22"/>
          <w:szCs w:val="22"/>
        </w:rPr>
        <w:t>Circular 01/2022 [</w:t>
      </w:r>
      <w:proofErr w:type="gramStart"/>
      <w:r w:rsidRPr="00B04101">
        <w:rPr>
          <w:rFonts w:asciiTheme="majorHAnsi" w:hAnsiTheme="majorHAnsi"/>
          <w:i/>
          <w:iCs/>
          <w:sz w:val="22"/>
          <w:szCs w:val="22"/>
        </w:rPr>
        <w:t>Strategic road</w:t>
      </w:r>
      <w:proofErr w:type="gramEnd"/>
      <w:r w:rsidRPr="00B04101">
        <w:rPr>
          <w:rFonts w:asciiTheme="majorHAnsi" w:hAnsiTheme="majorHAnsi"/>
          <w:i/>
          <w:iCs/>
          <w:sz w:val="22"/>
          <w:szCs w:val="22"/>
        </w:rPr>
        <w:t xml:space="preserve"> network and the delivery of sustainable development] states that: “12. New development should be facilitating a reduction in the need to travel by private car and focused on locations that are or can be made sustainable. In this regard, recent research on the location of development found that walking times between new homes and a range of key amenities regularly exceeded 30 minutes, reinforcing car dependency. Developments in the right places and served by the right sustainable infrastructure delivered alongside or ahead of occupancy must be a key consideration when planning for growth in all local authority areas.”</w:t>
      </w:r>
    </w:p>
    <w:p w14:paraId="34CA1FBD" w14:textId="77777777" w:rsidR="009819BE" w:rsidRPr="00B04101" w:rsidRDefault="009819BE" w:rsidP="009819BE">
      <w:pPr>
        <w:spacing w:after="0" w:line="276" w:lineRule="auto"/>
        <w:rPr>
          <w:rFonts w:asciiTheme="majorHAnsi" w:hAnsiTheme="majorHAnsi"/>
          <w:i/>
          <w:iCs/>
          <w:sz w:val="22"/>
          <w:szCs w:val="22"/>
        </w:rPr>
      </w:pPr>
    </w:p>
    <w:p w14:paraId="4930623D" w14:textId="77777777" w:rsidR="009819BE" w:rsidRPr="00B04101" w:rsidRDefault="009819BE" w:rsidP="009819BE">
      <w:pPr>
        <w:spacing w:after="0" w:line="276" w:lineRule="auto"/>
        <w:rPr>
          <w:rFonts w:asciiTheme="majorHAnsi" w:hAnsiTheme="majorHAnsi"/>
          <w:sz w:val="22"/>
          <w:szCs w:val="22"/>
        </w:rPr>
      </w:pPr>
      <w:r w:rsidRPr="00B04101">
        <w:rPr>
          <w:rFonts w:asciiTheme="majorHAnsi" w:hAnsiTheme="majorHAnsi"/>
          <w:i/>
          <w:iCs/>
          <w:sz w:val="22"/>
          <w:szCs w:val="22"/>
        </w:rPr>
        <w:t>Circular 01/2022 goes on to say “13. … where developments are located, how they are designed and how well delivery and public transport services are integrated has a huge impact on people’s mode of travel for short journeys. National Highways will therefore expect strategic policy-making authorities and community groups responsible for preparing local and neighbourhood plans to only promote development at locations that are or can be made sustainable and where opportunities to maximise walking, wheeling, cycling, public transport and shared travel have been identified.”</w:t>
      </w:r>
    </w:p>
    <w:p w14:paraId="60358A10" w14:textId="77777777" w:rsidR="009819BE" w:rsidRPr="00B04101" w:rsidRDefault="009819BE" w:rsidP="009819BE">
      <w:pPr>
        <w:spacing w:after="0" w:line="276" w:lineRule="auto"/>
        <w:rPr>
          <w:rFonts w:asciiTheme="majorHAnsi" w:hAnsiTheme="majorHAnsi"/>
          <w:b/>
          <w:bCs/>
          <w:sz w:val="22"/>
          <w:szCs w:val="22"/>
        </w:rPr>
      </w:pPr>
    </w:p>
    <w:p w14:paraId="00FE61BB" w14:textId="77777777" w:rsidR="009819BE" w:rsidRPr="00B04101" w:rsidRDefault="009819BE" w:rsidP="009819BE">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 xml:space="preserve">The proposed sites MH2 and MH3 might be viewed as being in sustainable locations due to their relatively </w:t>
      </w:r>
      <w:proofErr w:type="gramStart"/>
      <w:r w:rsidRPr="00B04101">
        <w:rPr>
          <w:rFonts w:asciiTheme="majorHAnsi" w:hAnsiTheme="majorHAnsi"/>
          <w:b/>
          <w:bCs/>
          <w:color w:val="002060"/>
          <w:sz w:val="22"/>
          <w:szCs w:val="22"/>
        </w:rPr>
        <w:t>close proximity</w:t>
      </w:r>
      <w:proofErr w:type="gramEnd"/>
      <w:r w:rsidRPr="00B04101">
        <w:rPr>
          <w:rFonts w:asciiTheme="majorHAnsi" w:hAnsiTheme="majorHAnsi"/>
          <w:b/>
          <w:bCs/>
          <w:color w:val="002060"/>
          <w:sz w:val="22"/>
          <w:szCs w:val="22"/>
        </w:rPr>
        <w:t xml:space="preserve"> to a range of services in Market Harborough. </w:t>
      </w:r>
      <w:r w:rsidRPr="00B04101">
        <w:rPr>
          <w:rFonts w:asciiTheme="majorHAnsi" w:hAnsiTheme="majorHAnsi"/>
          <w:b/>
          <w:color w:val="002060"/>
          <w:sz w:val="22"/>
          <w:szCs w:val="22"/>
        </w:rPr>
        <w:t xml:space="preserve">However, the travel distance from these sites to the town centre </w:t>
      </w:r>
      <w:r w:rsidRPr="00B04101">
        <w:rPr>
          <w:rFonts w:asciiTheme="majorHAnsi" w:hAnsiTheme="majorHAnsi"/>
          <w:b/>
          <w:bCs/>
          <w:color w:val="002060"/>
          <w:sz w:val="22"/>
          <w:szCs w:val="22"/>
        </w:rPr>
        <w:t>presents a significant risk that sustainable transport measures will not be sufficiently attractive to encourage and enable modal shift away from the car. Sites MH2 and MH3 cannot meet the requirements to prioritise sustainable travel modes as set out in NPPF Paragraphs 115 to 118; nor in Para 12 &amp; 13 of Circular 01/2022 and are therefore not deliverable.  We consider this makes the Proposed Submission Draft Harborough Local Plan unsound.</w:t>
      </w:r>
    </w:p>
    <w:p w14:paraId="0DEA8A0F" w14:textId="77777777" w:rsidR="009B15E8" w:rsidRPr="00B04101" w:rsidRDefault="009B15E8" w:rsidP="009819BE">
      <w:pPr>
        <w:spacing w:after="0" w:line="276" w:lineRule="auto"/>
        <w:rPr>
          <w:rFonts w:asciiTheme="majorHAnsi" w:hAnsiTheme="majorHAnsi"/>
          <w:b/>
          <w:bCs/>
          <w:color w:val="002060"/>
          <w:sz w:val="22"/>
          <w:szCs w:val="22"/>
        </w:rPr>
      </w:pPr>
    </w:p>
    <w:p w14:paraId="39F7F536" w14:textId="714B8BD7" w:rsidR="009819BE" w:rsidRPr="00B04101" w:rsidRDefault="00856FA6" w:rsidP="009819BE">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To make Policy SA03 sound, the</w:t>
      </w:r>
      <w:r w:rsidR="009819BE" w:rsidRPr="00B04101">
        <w:rPr>
          <w:rFonts w:asciiTheme="majorHAnsi" w:hAnsiTheme="majorHAnsi"/>
          <w:b/>
          <w:bCs/>
          <w:color w:val="002060"/>
          <w:sz w:val="22"/>
          <w:szCs w:val="22"/>
        </w:rPr>
        <w:t xml:space="preserve"> proposed sites MH2 and MH3 </w:t>
      </w:r>
      <w:r w:rsidRPr="00B04101">
        <w:rPr>
          <w:rFonts w:asciiTheme="majorHAnsi" w:hAnsiTheme="majorHAnsi"/>
          <w:b/>
          <w:bCs/>
          <w:color w:val="002060"/>
          <w:sz w:val="22"/>
          <w:szCs w:val="22"/>
        </w:rPr>
        <w:t xml:space="preserve">should </w:t>
      </w:r>
      <w:r w:rsidR="009819BE" w:rsidRPr="00B04101">
        <w:rPr>
          <w:rFonts w:asciiTheme="majorHAnsi" w:hAnsiTheme="majorHAnsi"/>
          <w:b/>
          <w:bCs/>
          <w:color w:val="002060"/>
          <w:sz w:val="22"/>
          <w:szCs w:val="22"/>
        </w:rPr>
        <w:t>be deleted from the draft Local Plan.</w:t>
      </w:r>
    </w:p>
    <w:p w14:paraId="00574AE3" w14:textId="77777777" w:rsidR="009819BE" w:rsidRPr="00B04101" w:rsidRDefault="009819BE" w:rsidP="00A40E59">
      <w:pPr>
        <w:spacing w:after="0" w:line="276" w:lineRule="auto"/>
        <w:rPr>
          <w:rFonts w:asciiTheme="majorHAnsi" w:hAnsiTheme="majorHAnsi"/>
          <w:b/>
          <w:bCs/>
          <w:color w:val="002060"/>
          <w:sz w:val="28"/>
          <w:szCs w:val="28"/>
        </w:rPr>
      </w:pPr>
    </w:p>
    <w:p w14:paraId="18B7A5CD" w14:textId="5A1DBF90" w:rsidR="00F63287" w:rsidRPr="00B04101" w:rsidRDefault="00F7492C" w:rsidP="00A40E59">
      <w:pPr>
        <w:spacing w:after="0" w:line="276" w:lineRule="auto"/>
        <w:rPr>
          <w:rFonts w:asciiTheme="majorHAnsi" w:hAnsiTheme="majorHAnsi"/>
          <w:b/>
          <w:bCs/>
          <w:color w:val="002060"/>
          <w:sz w:val="28"/>
          <w:szCs w:val="28"/>
        </w:rPr>
      </w:pPr>
      <w:r>
        <w:rPr>
          <w:rFonts w:asciiTheme="majorHAnsi" w:hAnsiTheme="majorHAnsi"/>
          <w:b/>
          <w:bCs/>
          <w:color w:val="002060"/>
          <w:sz w:val="28"/>
          <w:szCs w:val="28"/>
        </w:rPr>
        <w:t>4</w:t>
      </w:r>
      <w:r w:rsidR="00FF7858" w:rsidRPr="00B04101">
        <w:rPr>
          <w:rFonts w:asciiTheme="majorHAnsi" w:hAnsiTheme="majorHAnsi"/>
          <w:b/>
          <w:bCs/>
          <w:color w:val="002060"/>
          <w:sz w:val="28"/>
          <w:szCs w:val="28"/>
        </w:rPr>
        <w:t>.</w:t>
      </w:r>
      <w:r w:rsidR="007F42EB" w:rsidRPr="00B04101">
        <w:rPr>
          <w:rFonts w:asciiTheme="majorHAnsi" w:hAnsiTheme="majorHAnsi"/>
          <w:b/>
          <w:bCs/>
          <w:color w:val="002060"/>
          <w:sz w:val="28"/>
          <w:szCs w:val="28"/>
        </w:rPr>
        <w:t>Policy SA03: North of Market Harborough</w:t>
      </w:r>
      <w:r w:rsidR="00504D45" w:rsidRPr="00B04101">
        <w:rPr>
          <w:rFonts w:asciiTheme="majorHAnsi" w:hAnsiTheme="majorHAnsi"/>
          <w:b/>
          <w:bCs/>
          <w:color w:val="002060"/>
          <w:sz w:val="28"/>
          <w:szCs w:val="28"/>
        </w:rPr>
        <w:t xml:space="preserve"> </w:t>
      </w:r>
      <w:r w:rsidR="007F42EB" w:rsidRPr="00B04101">
        <w:rPr>
          <w:rFonts w:asciiTheme="majorHAnsi" w:hAnsiTheme="majorHAnsi"/>
          <w:b/>
          <w:bCs/>
          <w:color w:val="002060"/>
          <w:sz w:val="28"/>
          <w:szCs w:val="28"/>
        </w:rPr>
        <w:t xml:space="preserve"> </w:t>
      </w:r>
    </w:p>
    <w:p w14:paraId="0C3D90F1" w14:textId="591DDF8D" w:rsidR="001C23E6" w:rsidRPr="00B04101" w:rsidRDefault="00803905" w:rsidP="00A40E59">
      <w:pPr>
        <w:spacing w:after="0" w:line="276" w:lineRule="auto"/>
        <w:rPr>
          <w:rFonts w:asciiTheme="majorHAnsi" w:hAnsiTheme="majorHAnsi"/>
          <w:i/>
          <w:iCs/>
          <w:sz w:val="22"/>
          <w:szCs w:val="22"/>
        </w:rPr>
      </w:pPr>
      <w:r w:rsidRPr="00B04101">
        <w:rPr>
          <w:rFonts w:asciiTheme="majorHAnsi" w:hAnsiTheme="majorHAnsi"/>
          <w:sz w:val="22"/>
          <w:szCs w:val="22"/>
        </w:rPr>
        <w:t>‘</w:t>
      </w:r>
      <w:r w:rsidR="002A5938" w:rsidRPr="00B04101">
        <w:rPr>
          <w:rFonts w:asciiTheme="majorHAnsi" w:hAnsiTheme="majorHAnsi"/>
          <w:sz w:val="22"/>
          <w:szCs w:val="22"/>
        </w:rPr>
        <w:t>Policy SA03: North of Market Harborough</w:t>
      </w:r>
      <w:r w:rsidRPr="00B04101">
        <w:rPr>
          <w:rFonts w:asciiTheme="majorHAnsi" w:hAnsiTheme="majorHAnsi"/>
          <w:sz w:val="22"/>
          <w:szCs w:val="22"/>
        </w:rPr>
        <w:t>’</w:t>
      </w:r>
      <w:r w:rsidR="00465A54" w:rsidRPr="00B04101">
        <w:rPr>
          <w:rFonts w:asciiTheme="majorHAnsi" w:hAnsiTheme="majorHAnsi"/>
          <w:sz w:val="22"/>
          <w:szCs w:val="22"/>
        </w:rPr>
        <w:t xml:space="preserve"> relates to the cluster of sites to the North of Market Harborough (MH1, MH2 and MH3), identified for new sustainable, residential-led mixed use development. </w:t>
      </w:r>
      <w:r w:rsidR="00532A29" w:rsidRPr="00B04101">
        <w:rPr>
          <w:rFonts w:asciiTheme="majorHAnsi" w:hAnsiTheme="majorHAnsi"/>
          <w:sz w:val="22"/>
          <w:szCs w:val="22"/>
        </w:rPr>
        <w:t>It states:</w:t>
      </w:r>
      <w:r w:rsidR="00FF7858" w:rsidRPr="00B04101">
        <w:rPr>
          <w:rFonts w:asciiTheme="majorHAnsi" w:hAnsiTheme="majorHAnsi"/>
          <w:sz w:val="22"/>
          <w:szCs w:val="22"/>
        </w:rPr>
        <w:t xml:space="preserve"> </w:t>
      </w:r>
      <w:r w:rsidR="00532A29" w:rsidRPr="00B04101">
        <w:rPr>
          <w:rFonts w:asciiTheme="majorHAnsi" w:hAnsiTheme="majorHAnsi"/>
          <w:i/>
          <w:iCs/>
          <w:sz w:val="22"/>
          <w:szCs w:val="22"/>
        </w:rPr>
        <w:t>“</w:t>
      </w:r>
      <w:r w:rsidR="005F7EFF" w:rsidRPr="00B04101">
        <w:rPr>
          <w:rFonts w:asciiTheme="majorHAnsi" w:hAnsiTheme="majorHAnsi"/>
          <w:i/>
          <w:iCs/>
          <w:sz w:val="22"/>
          <w:szCs w:val="22"/>
        </w:rPr>
        <w:t>3.</w:t>
      </w:r>
      <w:r w:rsidR="00532A29" w:rsidRPr="00B04101">
        <w:rPr>
          <w:rFonts w:asciiTheme="majorHAnsi" w:hAnsiTheme="majorHAnsi"/>
          <w:i/>
          <w:iCs/>
          <w:sz w:val="22"/>
          <w:szCs w:val="22"/>
        </w:rPr>
        <w:t xml:space="preserve"> ..</w:t>
      </w:r>
      <w:r w:rsidR="005F7EFF" w:rsidRPr="00B04101">
        <w:rPr>
          <w:rFonts w:asciiTheme="majorHAnsi" w:hAnsiTheme="majorHAnsi"/>
          <w:i/>
          <w:iCs/>
          <w:sz w:val="22"/>
          <w:szCs w:val="22"/>
        </w:rPr>
        <w:t>. The masterplan for the site must:</w:t>
      </w:r>
      <w:r w:rsidR="00FF7858" w:rsidRPr="00B04101">
        <w:rPr>
          <w:rFonts w:asciiTheme="majorHAnsi" w:hAnsiTheme="majorHAnsi"/>
          <w:i/>
          <w:iCs/>
          <w:sz w:val="22"/>
          <w:szCs w:val="22"/>
        </w:rPr>
        <w:t xml:space="preserve"> </w:t>
      </w:r>
      <w:r w:rsidR="002A5938" w:rsidRPr="00B04101">
        <w:rPr>
          <w:rFonts w:asciiTheme="majorHAnsi" w:hAnsiTheme="majorHAnsi"/>
          <w:i/>
          <w:iCs/>
          <w:sz w:val="22"/>
          <w:szCs w:val="22"/>
        </w:rPr>
        <w:t>f</w:t>
      </w:r>
      <w:r w:rsidR="005F7EFF" w:rsidRPr="00B04101">
        <w:rPr>
          <w:rFonts w:asciiTheme="majorHAnsi" w:hAnsiTheme="majorHAnsi"/>
          <w:i/>
          <w:iCs/>
          <w:sz w:val="22"/>
          <w:szCs w:val="22"/>
        </w:rPr>
        <w:t xml:space="preserve">) </w:t>
      </w:r>
      <w:r w:rsidR="001C23E6" w:rsidRPr="00B04101">
        <w:rPr>
          <w:rFonts w:asciiTheme="majorHAnsi" w:hAnsiTheme="majorHAnsi"/>
          <w:i/>
          <w:iCs/>
          <w:sz w:val="22"/>
          <w:szCs w:val="22"/>
        </w:rPr>
        <w:t xml:space="preserve">Provide safe highway, footway and cycleway connections that are permeable through the cluster of sites and connecting new schools, community facilities and into the town centre to maximise opportunities for sustainable modes of transport; </w:t>
      </w:r>
      <w:r w:rsidR="00532A29" w:rsidRPr="00B04101">
        <w:rPr>
          <w:rFonts w:asciiTheme="majorHAnsi" w:hAnsiTheme="majorHAnsi"/>
          <w:i/>
          <w:iCs/>
          <w:sz w:val="22"/>
          <w:szCs w:val="22"/>
        </w:rPr>
        <w:t>“</w:t>
      </w:r>
    </w:p>
    <w:p w14:paraId="30EE15CA" w14:textId="213CB322" w:rsidR="001C23E6" w:rsidRPr="00B04101" w:rsidRDefault="00532A29" w:rsidP="00A40E59">
      <w:pPr>
        <w:numPr>
          <w:ilvl w:val="1"/>
          <w:numId w:val="11"/>
        </w:numPr>
        <w:spacing w:after="0" w:line="276" w:lineRule="auto"/>
        <w:rPr>
          <w:rFonts w:asciiTheme="majorHAnsi" w:hAnsiTheme="majorHAnsi"/>
          <w:sz w:val="22"/>
          <w:szCs w:val="22"/>
        </w:rPr>
      </w:pPr>
      <w:r w:rsidRPr="00B04101">
        <w:rPr>
          <w:rFonts w:asciiTheme="majorHAnsi" w:hAnsiTheme="majorHAnsi"/>
          <w:sz w:val="22"/>
          <w:szCs w:val="22"/>
        </w:rPr>
        <w:t>and:</w:t>
      </w:r>
    </w:p>
    <w:p w14:paraId="2088C55B" w14:textId="61E26543" w:rsidR="00B95939" w:rsidRPr="00B04101" w:rsidRDefault="0045564D" w:rsidP="00A40E59">
      <w:pPr>
        <w:pStyle w:val="Default"/>
        <w:spacing w:line="276" w:lineRule="auto"/>
        <w:rPr>
          <w:rFonts w:asciiTheme="majorHAnsi" w:hAnsiTheme="majorHAnsi"/>
          <w:i/>
          <w:iCs/>
          <w:sz w:val="22"/>
          <w:szCs w:val="22"/>
        </w:rPr>
      </w:pPr>
      <w:r w:rsidRPr="00B04101">
        <w:rPr>
          <w:rFonts w:asciiTheme="majorHAnsi" w:hAnsiTheme="majorHAnsi"/>
          <w:i/>
          <w:iCs/>
          <w:sz w:val="22"/>
          <w:szCs w:val="22"/>
        </w:rPr>
        <w:t>“</w:t>
      </w:r>
      <w:r w:rsidR="00B95939" w:rsidRPr="00B04101">
        <w:rPr>
          <w:rFonts w:asciiTheme="majorHAnsi" w:hAnsiTheme="majorHAnsi"/>
          <w:i/>
          <w:iCs/>
          <w:sz w:val="22"/>
          <w:szCs w:val="22"/>
        </w:rPr>
        <w:t xml:space="preserve">5.26 Addressing the cumulative transport impacts is necessary to manage increased traffic, ensure road safety, and promote sustainable travel. Safe vehicular access, regular bus services, and high-quality cycle and pedestrian routes are vital to reducing car dependency and encouraging healthier, more sustainable modes of transport. </w:t>
      </w:r>
      <w:r w:rsidRPr="00B04101">
        <w:rPr>
          <w:rFonts w:asciiTheme="majorHAnsi" w:hAnsiTheme="majorHAnsi"/>
          <w:i/>
          <w:iCs/>
          <w:sz w:val="22"/>
          <w:szCs w:val="22"/>
        </w:rPr>
        <w:t>“</w:t>
      </w:r>
    </w:p>
    <w:p w14:paraId="3A07F865" w14:textId="77777777" w:rsidR="00B95939" w:rsidRPr="00B04101" w:rsidRDefault="00B95939" w:rsidP="00A40E59">
      <w:pPr>
        <w:pStyle w:val="Default"/>
        <w:numPr>
          <w:ilvl w:val="1"/>
          <w:numId w:val="11"/>
        </w:numPr>
        <w:spacing w:line="276" w:lineRule="auto"/>
        <w:ind w:left="1440" w:hanging="360"/>
        <w:rPr>
          <w:rFonts w:asciiTheme="majorHAnsi" w:hAnsiTheme="majorHAnsi"/>
          <w:color w:val="002060"/>
          <w:sz w:val="22"/>
          <w:szCs w:val="22"/>
        </w:rPr>
      </w:pPr>
    </w:p>
    <w:p w14:paraId="6438FBC0" w14:textId="4F667CD9" w:rsidR="00753694" w:rsidRPr="00B04101" w:rsidRDefault="0063055A" w:rsidP="00753694">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 xml:space="preserve">The National Planning Policy Framework (NPPF) (December 2024 sets out a presumption in favour of sustainable development. </w:t>
      </w:r>
      <w:r w:rsidR="00D335E2" w:rsidRPr="00B04101">
        <w:rPr>
          <w:rFonts w:asciiTheme="majorHAnsi" w:hAnsiTheme="majorHAnsi"/>
          <w:b/>
          <w:bCs/>
          <w:color w:val="002060"/>
          <w:sz w:val="22"/>
          <w:szCs w:val="22"/>
        </w:rPr>
        <w:t>Th</w:t>
      </w:r>
      <w:r w:rsidRPr="00B04101">
        <w:rPr>
          <w:rFonts w:asciiTheme="majorHAnsi" w:hAnsiTheme="majorHAnsi"/>
          <w:b/>
          <w:bCs/>
          <w:color w:val="002060"/>
          <w:sz w:val="22"/>
          <w:szCs w:val="22"/>
        </w:rPr>
        <w:t>e</w:t>
      </w:r>
      <w:r w:rsidR="009E501B" w:rsidRPr="00B04101">
        <w:rPr>
          <w:rFonts w:asciiTheme="majorHAnsi" w:hAnsiTheme="majorHAnsi"/>
          <w:b/>
          <w:bCs/>
          <w:color w:val="002060"/>
          <w:sz w:val="22"/>
          <w:szCs w:val="22"/>
        </w:rPr>
        <w:t xml:space="preserve"> specification for the Masterplan</w:t>
      </w:r>
      <w:r w:rsidRPr="00B04101">
        <w:rPr>
          <w:rFonts w:asciiTheme="majorHAnsi" w:hAnsiTheme="majorHAnsi"/>
          <w:b/>
          <w:bCs/>
          <w:color w:val="002060"/>
          <w:sz w:val="22"/>
          <w:szCs w:val="22"/>
        </w:rPr>
        <w:t xml:space="preserve"> set out in Policy SA03 </w:t>
      </w:r>
      <w:r w:rsidR="00D335E2" w:rsidRPr="00B04101">
        <w:rPr>
          <w:rFonts w:asciiTheme="majorHAnsi" w:hAnsiTheme="majorHAnsi"/>
          <w:b/>
          <w:bCs/>
          <w:color w:val="002060"/>
          <w:sz w:val="22"/>
          <w:szCs w:val="22"/>
        </w:rPr>
        <w:t>is incompatible with NPPF Paragraph 115</w:t>
      </w:r>
      <w:r w:rsidR="00876ED5" w:rsidRPr="00B04101">
        <w:rPr>
          <w:rFonts w:asciiTheme="majorHAnsi" w:hAnsiTheme="majorHAnsi"/>
          <w:b/>
          <w:bCs/>
          <w:color w:val="002060"/>
          <w:sz w:val="22"/>
          <w:szCs w:val="22"/>
        </w:rPr>
        <w:t xml:space="preserve"> which states that “</w:t>
      </w:r>
      <w:r w:rsidR="00D335E2" w:rsidRPr="00B04101">
        <w:rPr>
          <w:rFonts w:asciiTheme="majorHAnsi" w:hAnsiTheme="majorHAnsi"/>
          <w:b/>
          <w:bCs/>
          <w:color w:val="002060"/>
          <w:sz w:val="22"/>
          <w:szCs w:val="22"/>
        </w:rPr>
        <w:t>In assessing sites that may be allocated for development in plans, or specific applications for development, it should be ensured that: a) sustainable transport modes are prioritised</w:t>
      </w:r>
      <w:r w:rsidR="000F56F6" w:rsidRPr="00B04101">
        <w:rPr>
          <w:rFonts w:asciiTheme="majorHAnsi" w:hAnsiTheme="majorHAnsi"/>
          <w:b/>
          <w:bCs/>
          <w:color w:val="002060"/>
          <w:sz w:val="22"/>
          <w:szCs w:val="22"/>
        </w:rPr>
        <w:t xml:space="preserve"> …”</w:t>
      </w:r>
      <w:r w:rsidR="002611A0" w:rsidRPr="00B04101">
        <w:rPr>
          <w:rFonts w:asciiTheme="majorHAnsi" w:hAnsiTheme="majorHAnsi"/>
          <w:b/>
          <w:bCs/>
          <w:color w:val="002060"/>
          <w:sz w:val="22"/>
          <w:szCs w:val="22"/>
        </w:rPr>
        <w:t xml:space="preserve">. </w:t>
      </w:r>
      <w:r w:rsidR="002D5B04" w:rsidRPr="00B04101">
        <w:rPr>
          <w:rFonts w:asciiTheme="majorHAnsi" w:hAnsiTheme="majorHAnsi"/>
          <w:b/>
          <w:bCs/>
          <w:color w:val="002060"/>
          <w:sz w:val="22"/>
          <w:szCs w:val="22"/>
        </w:rPr>
        <w:t>W</w:t>
      </w:r>
      <w:r w:rsidR="00753694" w:rsidRPr="00B04101">
        <w:rPr>
          <w:rFonts w:asciiTheme="majorHAnsi" w:hAnsiTheme="majorHAnsi"/>
          <w:b/>
          <w:bCs/>
          <w:color w:val="002060"/>
          <w:sz w:val="22"/>
          <w:szCs w:val="22"/>
        </w:rPr>
        <w:t xml:space="preserve">e consider that Policy </w:t>
      </w:r>
      <w:r w:rsidR="002D5B04" w:rsidRPr="00B04101">
        <w:rPr>
          <w:rFonts w:asciiTheme="majorHAnsi" w:hAnsiTheme="majorHAnsi"/>
          <w:b/>
          <w:bCs/>
          <w:color w:val="002060"/>
          <w:sz w:val="22"/>
          <w:szCs w:val="22"/>
        </w:rPr>
        <w:t>SA03</w:t>
      </w:r>
      <w:r w:rsidR="00753694" w:rsidRPr="00B04101">
        <w:rPr>
          <w:rFonts w:asciiTheme="majorHAnsi" w:hAnsiTheme="majorHAnsi"/>
          <w:b/>
          <w:bCs/>
          <w:color w:val="002060"/>
          <w:sz w:val="22"/>
          <w:szCs w:val="22"/>
        </w:rPr>
        <w:t xml:space="preserve"> does not fully reflect the requirement to prioritise sustainable travel modes as set out in NPPF Paragraph 115 and this makes the Proposed Submission Draft Harborough Local Plan unsound.</w:t>
      </w:r>
    </w:p>
    <w:p w14:paraId="5420DEE1" w14:textId="77777777" w:rsidR="00856FA6" w:rsidRPr="00B04101" w:rsidRDefault="00856FA6" w:rsidP="00A40E59">
      <w:pPr>
        <w:spacing w:after="0" w:line="276" w:lineRule="auto"/>
        <w:rPr>
          <w:rFonts w:asciiTheme="majorHAnsi" w:hAnsiTheme="majorHAnsi"/>
          <w:b/>
          <w:bCs/>
          <w:color w:val="002060"/>
          <w:sz w:val="22"/>
          <w:szCs w:val="22"/>
        </w:rPr>
      </w:pPr>
    </w:p>
    <w:p w14:paraId="38C6AE9D" w14:textId="5EBE4231" w:rsidR="001C23E6" w:rsidRPr="00B04101" w:rsidRDefault="00856FA6" w:rsidP="00A40E59">
      <w:pPr>
        <w:spacing w:after="0" w:line="276" w:lineRule="auto"/>
        <w:rPr>
          <w:rFonts w:asciiTheme="majorHAnsi" w:hAnsiTheme="majorHAnsi"/>
          <w:b/>
          <w:bCs/>
          <w:color w:val="002060"/>
          <w:sz w:val="22"/>
          <w:szCs w:val="22"/>
        </w:rPr>
      </w:pPr>
      <w:r w:rsidRPr="00B04101">
        <w:rPr>
          <w:rFonts w:asciiTheme="majorHAnsi" w:hAnsiTheme="majorHAnsi"/>
          <w:b/>
          <w:bCs/>
          <w:color w:val="002060"/>
          <w:sz w:val="22"/>
          <w:szCs w:val="22"/>
        </w:rPr>
        <w:t xml:space="preserve">To make Policy SA03 sound it </w:t>
      </w:r>
      <w:r w:rsidR="00991158" w:rsidRPr="00B04101">
        <w:rPr>
          <w:rFonts w:asciiTheme="majorHAnsi" w:hAnsiTheme="majorHAnsi"/>
          <w:b/>
          <w:bCs/>
          <w:color w:val="002060"/>
          <w:sz w:val="22"/>
          <w:szCs w:val="22"/>
        </w:rPr>
        <w:t xml:space="preserve">should be re-drafted to </w:t>
      </w:r>
      <w:r w:rsidRPr="00B04101">
        <w:rPr>
          <w:rFonts w:asciiTheme="majorHAnsi" w:hAnsiTheme="majorHAnsi"/>
          <w:b/>
          <w:bCs/>
          <w:color w:val="002060"/>
          <w:sz w:val="22"/>
          <w:szCs w:val="22"/>
        </w:rPr>
        <w:t xml:space="preserve">state </w:t>
      </w:r>
      <w:r w:rsidR="000A21A4" w:rsidRPr="00B04101">
        <w:rPr>
          <w:rFonts w:asciiTheme="majorHAnsi" w:hAnsiTheme="majorHAnsi"/>
          <w:b/>
          <w:bCs/>
          <w:color w:val="002060"/>
          <w:sz w:val="22"/>
          <w:szCs w:val="22"/>
        </w:rPr>
        <w:t xml:space="preserve">that sustainable transport modes </w:t>
      </w:r>
      <w:r w:rsidR="009B15E8" w:rsidRPr="00B04101">
        <w:rPr>
          <w:rFonts w:asciiTheme="majorHAnsi" w:hAnsiTheme="majorHAnsi"/>
          <w:b/>
          <w:bCs/>
          <w:color w:val="002060"/>
          <w:sz w:val="22"/>
          <w:szCs w:val="22"/>
        </w:rPr>
        <w:t xml:space="preserve">will be </w:t>
      </w:r>
      <w:r w:rsidR="000A21A4" w:rsidRPr="00B04101">
        <w:rPr>
          <w:rFonts w:asciiTheme="majorHAnsi" w:hAnsiTheme="majorHAnsi"/>
          <w:b/>
          <w:bCs/>
          <w:color w:val="002060"/>
          <w:sz w:val="22"/>
          <w:szCs w:val="22"/>
        </w:rPr>
        <w:t>prioritised.</w:t>
      </w:r>
    </w:p>
    <w:p w14:paraId="2D1EDADB" w14:textId="77777777" w:rsidR="00B50973" w:rsidRPr="00B04101" w:rsidRDefault="00B50973" w:rsidP="00A40E59">
      <w:pPr>
        <w:spacing w:after="0" w:line="276" w:lineRule="auto"/>
        <w:rPr>
          <w:rFonts w:asciiTheme="majorHAnsi" w:hAnsiTheme="majorHAnsi"/>
          <w:b/>
          <w:bCs/>
          <w:sz w:val="22"/>
          <w:szCs w:val="22"/>
        </w:rPr>
      </w:pPr>
    </w:p>
    <w:p w14:paraId="3024E257" w14:textId="77777777" w:rsidR="004A249B" w:rsidRPr="00B04101" w:rsidRDefault="004A249B" w:rsidP="00861BA9">
      <w:pPr>
        <w:spacing w:after="0" w:line="276" w:lineRule="auto"/>
        <w:rPr>
          <w:rFonts w:asciiTheme="majorHAnsi" w:hAnsiTheme="majorHAnsi"/>
          <w:b/>
          <w:bCs/>
          <w:color w:val="002060"/>
          <w:sz w:val="22"/>
          <w:szCs w:val="22"/>
        </w:rPr>
      </w:pPr>
    </w:p>
    <w:p w14:paraId="78BFDC58" w14:textId="2C34FC52" w:rsidR="00861BA9" w:rsidRPr="00B04101" w:rsidRDefault="00861BA9" w:rsidP="00861BA9">
      <w:pPr>
        <w:spacing w:after="0" w:line="276" w:lineRule="auto"/>
        <w:rPr>
          <w:rFonts w:asciiTheme="majorHAnsi" w:hAnsiTheme="majorHAnsi"/>
          <w:b/>
          <w:bCs/>
          <w:color w:val="002060"/>
          <w:sz w:val="22"/>
          <w:szCs w:val="22"/>
        </w:rPr>
      </w:pPr>
    </w:p>
    <w:p w14:paraId="39EFD275" w14:textId="77777777" w:rsidR="001C23E6" w:rsidRPr="00B04101" w:rsidRDefault="001C23E6" w:rsidP="00A40E59">
      <w:pPr>
        <w:spacing w:after="0" w:line="276" w:lineRule="auto"/>
        <w:rPr>
          <w:rFonts w:asciiTheme="majorHAnsi" w:hAnsiTheme="majorHAnsi"/>
          <w:b/>
          <w:bCs/>
          <w:sz w:val="22"/>
          <w:szCs w:val="22"/>
        </w:rPr>
      </w:pPr>
    </w:p>
    <w:p w14:paraId="2DF4C0F3" w14:textId="77777777" w:rsidR="001C23E6" w:rsidRPr="00B04101" w:rsidRDefault="001C23E6" w:rsidP="001C23E6">
      <w:pPr>
        <w:rPr>
          <w:rFonts w:asciiTheme="majorHAnsi" w:hAnsiTheme="majorHAnsi"/>
          <w:b/>
          <w:bCs/>
          <w:sz w:val="22"/>
          <w:szCs w:val="22"/>
        </w:rPr>
      </w:pPr>
    </w:p>
    <w:sectPr w:rsidR="001C23E6" w:rsidRPr="00B04101" w:rsidSect="00E967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2A4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77CE3E"/>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D096A5"/>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689CA6"/>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0003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151921"/>
    <w:multiLevelType w:val="hybridMultilevel"/>
    <w:tmpl w:val="F4C02A98"/>
    <w:lvl w:ilvl="0" w:tplc="D85842E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A287A"/>
    <w:multiLevelType w:val="hybridMultilevel"/>
    <w:tmpl w:val="36E8C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A32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2A8CD0"/>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6F6463"/>
    <w:multiLevelType w:val="hybridMultilevel"/>
    <w:tmpl w:val="D82207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E140D"/>
    <w:multiLevelType w:val="hybridMultilevel"/>
    <w:tmpl w:val="92648A50"/>
    <w:lvl w:ilvl="0" w:tplc="60DC3FB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6F0C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6AF576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B430F52"/>
    <w:multiLevelType w:val="hybridMultilevel"/>
    <w:tmpl w:val="643A6A8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C106F58"/>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8672454">
    <w:abstractNumId w:val="6"/>
  </w:num>
  <w:num w:numId="2" w16cid:durableId="216359266">
    <w:abstractNumId w:val="10"/>
  </w:num>
  <w:num w:numId="3" w16cid:durableId="1830444895">
    <w:abstractNumId w:val="0"/>
  </w:num>
  <w:num w:numId="4" w16cid:durableId="88240634">
    <w:abstractNumId w:val="4"/>
  </w:num>
  <w:num w:numId="5" w16cid:durableId="1555117778">
    <w:abstractNumId w:val="11"/>
  </w:num>
  <w:num w:numId="6" w16cid:durableId="1837842470">
    <w:abstractNumId w:val="2"/>
  </w:num>
  <w:num w:numId="7" w16cid:durableId="102379794">
    <w:abstractNumId w:val="8"/>
  </w:num>
  <w:num w:numId="8" w16cid:durableId="204145751">
    <w:abstractNumId w:val="13"/>
  </w:num>
  <w:num w:numId="9" w16cid:durableId="1697804460">
    <w:abstractNumId w:val="14"/>
  </w:num>
  <w:num w:numId="10" w16cid:durableId="498158937">
    <w:abstractNumId w:val="1"/>
  </w:num>
  <w:num w:numId="11" w16cid:durableId="709645983">
    <w:abstractNumId w:val="3"/>
  </w:num>
  <w:num w:numId="12" w16cid:durableId="892815190">
    <w:abstractNumId w:val="12"/>
  </w:num>
  <w:num w:numId="13" w16cid:durableId="614287737">
    <w:abstractNumId w:val="7"/>
  </w:num>
  <w:num w:numId="14" w16cid:durableId="1924028407">
    <w:abstractNumId w:val="5"/>
  </w:num>
  <w:num w:numId="15" w16cid:durableId="290794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B0"/>
    <w:rsid w:val="00014FA6"/>
    <w:rsid w:val="000369E3"/>
    <w:rsid w:val="00047C77"/>
    <w:rsid w:val="00057DED"/>
    <w:rsid w:val="00063C52"/>
    <w:rsid w:val="000877AD"/>
    <w:rsid w:val="000A21A4"/>
    <w:rsid w:val="000C15AA"/>
    <w:rsid w:val="000D489F"/>
    <w:rsid w:val="000F56F6"/>
    <w:rsid w:val="001070D0"/>
    <w:rsid w:val="00123ACA"/>
    <w:rsid w:val="001244E3"/>
    <w:rsid w:val="00131F99"/>
    <w:rsid w:val="00151D5D"/>
    <w:rsid w:val="00155095"/>
    <w:rsid w:val="00162CCC"/>
    <w:rsid w:val="00190BD0"/>
    <w:rsid w:val="001A73CA"/>
    <w:rsid w:val="001C23E6"/>
    <w:rsid w:val="001F56FC"/>
    <w:rsid w:val="00226ED5"/>
    <w:rsid w:val="00252801"/>
    <w:rsid w:val="002611A0"/>
    <w:rsid w:val="002931F9"/>
    <w:rsid w:val="002A4998"/>
    <w:rsid w:val="002A5938"/>
    <w:rsid w:val="002B243F"/>
    <w:rsid w:val="002D5B04"/>
    <w:rsid w:val="002D7058"/>
    <w:rsid w:val="002E3B4C"/>
    <w:rsid w:val="00314983"/>
    <w:rsid w:val="00335236"/>
    <w:rsid w:val="003522A4"/>
    <w:rsid w:val="00385E85"/>
    <w:rsid w:val="00393DA1"/>
    <w:rsid w:val="0039723E"/>
    <w:rsid w:val="003C49E2"/>
    <w:rsid w:val="003D3FFE"/>
    <w:rsid w:val="00423F4D"/>
    <w:rsid w:val="0045440D"/>
    <w:rsid w:val="0045564D"/>
    <w:rsid w:val="00465A54"/>
    <w:rsid w:val="004A249B"/>
    <w:rsid w:val="004A47B8"/>
    <w:rsid w:val="004A5738"/>
    <w:rsid w:val="004B1926"/>
    <w:rsid w:val="004F4D6F"/>
    <w:rsid w:val="004F525B"/>
    <w:rsid w:val="005001A8"/>
    <w:rsid w:val="00504D45"/>
    <w:rsid w:val="005076D6"/>
    <w:rsid w:val="00517A57"/>
    <w:rsid w:val="0053057A"/>
    <w:rsid w:val="00532A29"/>
    <w:rsid w:val="005400FD"/>
    <w:rsid w:val="00543535"/>
    <w:rsid w:val="00552C63"/>
    <w:rsid w:val="00560F1C"/>
    <w:rsid w:val="00565CA8"/>
    <w:rsid w:val="00577EB7"/>
    <w:rsid w:val="00587407"/>
    <w:rsid w:val="00595375"/>
    <w:rsid w:val="005D2355"/>
    <w:rsid w:val="005F7EFF"/>
    <w:rsid w:val="00613800"/>
    <w:rsid w:val="006163EE"/>
    <w:rsid w:val="0063055A"/>
    <w:rsid w:val="00633B7A"/>
    <w:rsid w:val="00646C87"/>
    <w:rsid w:val="006547BF"/>
    <w:rsid w:val="006605B4"/>
    <w:rsid w:val="00680D4B"/>
    <w:rsid w:val="00691D0E"/>
    <w:rsid w:val="006A25AD"/>
    <w:rsid w:val="006B01F3"/>
    <w:rsid w:val="006C0568"/>
    <w:rsid w:val="006C5CDC"/>
    <w:rsid w:val="00730ACC"/>
    <w:rsid w:val="00731B37"/>
    <w:rsid w:val="007342CF"/>
    <w:rsid w:val="00753694"/>
    <w:rsid w:val="007538A5"/>
    <w:rsid w:val="00765556"/>
    <w:rsid w:val="00780BAE"/>
    <w:rsid w:val="00782375"/>
    <w:rsid w:val="00797343"/>
    <w:rsid w:val="007D2B13"/>
    <w:rsid w:val="007D2E87"/>
    <w:rsid w:val="007E5D17"/>
    <w:rsid w:val="007F3FF6"/>
    <w:rsid w:val="007F42EB"/>
    <w:rsid w:val="007F68CD"/>
    <w:rsid w:val="00803905"/>
    <w:rsid w:val="00816554"/>
    <w:rsid w:val="00851D16"/>
    <w:rsid w:val="00856CDC"/>
    <w:rsid w:val="00856FA6"/>
    <w:rsid w:val="00861BA9"/>
    <w:rsid w:val="00876ED5"/>
    <w:rsid w:val="00882BF7"/>
    <w:rsid w:val="00883C5C"/>
    <w:rsid w:val="008967A6"/>
    <w:rsid w:val="008A3746"/>
    <w:rsid w:val="008B2151"/>
    <w:rsid w:val="008D2995"/>
    <w:rsid w:val="009006E7"/>
    <w:rsid w:val="009075CE"/>
    <w:rsid w:val="00920115"/>
    <w:rsid w:val="00930EA9"/>
    <w:rsid w:val="00942DE2"/>
    <w:rsid w:val="0096033C"/>
    <w:rsid w:val="00960A0F"/>
    <w:rsid w:val="009819BE"/>
    <w:rsid w:val="00991158"/>
    <w:rsid w:val="009A156F"/>
    <w:rsid w:val="009B15E8"/>
    <w:rsid w:val="009C033D"/>
    <w:rsid w:val="009C3CCC"/>
    <w:rsid w:val="009C64B0"/>
    <w:rsid w:val="009D486F"/>
    <w:rsid w:val="009E3F4F"/>
    <w:rsid w:val="009E501B"/>
    <w:rsid w:val="009E67C5"/>
    <w:rsid w:val="009F0792"/>
    <w:rsid w:val="009F6A4F"/>
    <w:rsid w:val="00A115A4"/>
    <w:rsid w:val="00A16376"/>
    <w:rsid w:val="00A20C33"/>
    <w:rsid w:val="00A36175"/>
    <w:rsid w:val="00A40E59"/>
    <w:rsid w:val="00A475AB"/>
    <w:rsid w:val="00A568AC"/>
    <w:rsid w:val="00A670A2"/>
    <w:rsid w:val="00A67D72"/>
    <w:rsid w:val="00A96BDD"/>
    <w:rsid w:val="00AB4DDF"/>
    <w:rsid w:val="00AB4E06"/>
    <w:rsid w:val="00AC6453"/>
    <w:rsid w:val="00AC7437"/>
    <w:rsid w:val="00AF0CF9"/>
    <w:rsid w:val="00AF3517"/>
    <w:rsid w:val="00B04101"/>
    <w:rsid w:val="00B40AFA"/>
    <w:rsid w:val="00B40CC0"/>
    <w:rsid w:val="00B40D02"/>
    <w:rsid w:val="00B43EE8"/>
    <w:rsid w:val="00B50973"/>
    <w:rsid w:val="00B604E7"/>
    <w:rsid w:val="00B66239"/>
    <w:rsid w:val="00B83E7B"/>
    <w:rsid w:val="00B9498C"/>
    <w:rsid w:val="00B95939"/>
    <w:rsid w:val="00B97A74"/>
    <w:rsid w:val="00BA1B05"/>
    <w:rsid w:val="00BE3E7E"/>
    <w:rsid w:val="00BE5D7B"/>
    <w:rsid w:val="00BE7746"/>
    <w:rsid w:val="00C02DA2"/>
    <w:rsid w:val="00C44DDC"/>
    <w:rsid w:val="00C44F3F"/>
    <w:rsid w:val="00C639EC"/>
    <w:rsid w:val="00C67910"/>
    <w:rsid w:val="00C7293B"/>
    <w:rsid w:val="00C773EA"/>
    <w:rsid w:val="00C800A5"/>
    <w:rsid w:val="00C85BDD"/>
    <w:rsid w:val="00CC2D82"/>
    <w:rsid w:val="00CC5BCF"/>
    <w:rsid w:val="00CD2DB5"/>
    <w:rsid w:val="00CF6EF3"/>
    <w:rsid w:val="00D0171E"/>
    <w:rsid w:val="00D215E5"/>
    <w:rsid w:val="00D335E2"/>
    <w:rsid w:val="00D464FD"/>
    <w:rsid w:val="00D65105"/>
    <w:rsid w:val="00D8794B"/>
    <w:rsid w:val="00DA03B0"/>
    <w:rsid w:val="00DA7FE7"/>
    <w:rsid w:val="00DD7198"/>
    <w:rsid w:val="00DE69D2"/>
    <w:rsid w:val="00E13D89"/>
    <w:rsid w:val="00E23344"/>
    <w:rsid w:val="00E35B35"/>
    <w:rsid w:val="00E41017"/>
    <w:rsid w:val="00E6148D"/>
    <w:rsid w:val="00E70870"/>
    <w:rsid w:val="00E92F59"/>
    <w:rsid w:val="00E967E3"/>
    <w:rsid w:val="00EB7246"/>
    <w:rsid w:val="00EC1ACE"/>
    <w:rsid w:val="00EC6324"/>
    <w:rsid w:val="00EE0950"/>
    <w:rsid w:val="00EE108F"/>
    <w:rsid w:val="00EF6508"/>
    <w:rsid w:val="00F013E7"/>
    <w:rsid w:val="00F04A96"/>
    <w:rsid w:val="00F07DCF"/>
    <w:rsid w:val="00F12B15"/>
    <w:rsid w:val="00F2707D"/>
    <w:rsid w:val="00F46B17"/>
    <w:rsid w:val="00F63287"/>
    <w:rsid w:val="00F648B0"/>
    <w:rsid w:val="00F7421E"/>
    <w:rsid w:val="00F7492C"/>
    <w:rsid w:val="00F8335E"/>
    <w:rsid w:val="00FA00CE"/>
    <w:rsid w:val="00FA3575"/>
    <w:rsid w:val="00FD4B63"/>
    <w:rsid w:val="00FE37FC"/>
    <w:rsid w:val="00FF5611"/>
    <w:rsid w:val="00F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7ADE"/>
  <w15:chartTrackingRefBased/>
  <w15:docId w15:val="{023F8597-434E-4B62-A789-2D305535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8B0"/>
    <w:rPr>
      <w:rFonts w:eastAsiaTheme="majorEastAsia" w:cstheme="majorBidi"/>
      <w:color w:val="272727" w:themeColor="text1" w:themeTint="D8"/>
    </w:rPr>
  </w:style>
  <w:style w:type="paragraph" w:styleId="Title">
    <w:name w:val="Title"/>
    <w:basedOn w:val="Normal"/>
    <w:next w:val="Normal"/>
    <w:link w:val="TitleChar"/>
    <w:uiPriority w:val="10"/>
    <w:qFormat/>
    <w:rsid w:val="00F64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8B0"/>
    <w:pPr>
      <w:spacing w:before="160"/>
      <w:jc w:val="center"/>
    </w:pPr>
    <w:rPr>
      <w:i/>
      <w:iCs/>
      <w:color w:val="404040" w:themeColor="text1" w:themeTint="BF"/>
    </w:rPr>
  </w:style>
  <w:style w:type="character" w:customStyle="1" w:styleId="QuoteChar">
    <w:name w:val="Quote Char"/>
    <w:basedOn w:val="DefaultParagraphFont"/>
    <w:link w:val="Quote"/>
    <w:uiPriority w:val="29"/>
    <w:rsid w:val="00F648B0"/>
    <w:rPr>
      <w:i/>
      <w:iCs/>
      <w:color w:val="404040" w:themeColor="text1" w:themeTint="BF"/>
    </w:rPr>
  </w:style>
  <w:style w:type="paragraph" w:styleId="ListParagraph">
    <w:name w:val="List Paragraph"/>
    <w:basedOn w:val="Normal"/>
    <w:uiPriority w:val="34"/>
    <w:qFormat/>
    <w:rsid w:val="00F648B0"/>
    <w:pPr>
      <w:ind w:left="720"/>
      <w:contextualSpacing/>
    </w:pPr>
  </w:style>
  <w:style w:type="character" w:styleId="IntenseEmphasis">
    <w:name w:val="Intense Emphasis"/>
    <w:basedOn w:val="DefaultParagraphFont"/>
    <w:uiPriority w:val="21"/>
    <w:qFormat/>
    <w:rsid w:val="00F648B0"/>
    <w:rPr>
      <w:i/>
      <w:iCs/>
      <w:color w:val="0F4761" w:themeColor="accent1" w:themeShade="BF"/>
    </w:rPr>
  </w:style>
  <w:style w:type="paragraph" w:styleId="IntenseQuote">
    <w:name w:val="Intense Quote"/>
    <w:basedOn w:val="Normal"/>
    <w:next w:val="Normal"/>
    <w:link w:val="IntenseQuoteChar"/>
    <w:uiPriority w:val="30"/>
    <w:qFormat/>
    <w:rsid w:val="00F6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8B0"/>
    <w:rPr>
      <w:i/>
      <w:iCs/>
      <w:color w:val="0F4761" w:themeColor="accent1" w:themeShade="BF"/>
    </w:rPr>
  </w:style>
  <w:style w:type="character" w:styleId="IntenseReference">
    <w:name w:val="Intense Reference"/>
    <w:basedOn w:val="DefaultParagraphFont"/>
    <w:uiPriority w:val="32"/>
    <w:qFormat/>
    <w:rsid w:val="00F648B0"/>
    <w:rPr>
      <w:b/>
      <w:bCs/>
      <w:smallCaps/>
      <w:color w:val="0F4761" w:themeColor="accent1" w:themeShade="BF"/>
      <w:spacing w:val="5"/>
    </w:rPr>
  </w:style>
  <w:style w:type="paragraph" w:customStyle="1" w:styleId="Default">
    <w:name w:val="Default"/>
    <w:rsid w:val="002D7058"/>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3D3FFE"/>
    <w:rPr>
      <w:color w:val="467886" w:themeColor="hyperlink"/>
      <w:u w:val="single"/>
    </w:rPr>
  </w:style>
  <w:style w:type="character" w:styleId="UnresolvedMention">
    <w:name w:val="Unresolved Mention"/>
    <w:basedOn w:val="DefaultParagraphFont"/>
    <w:uiPriority w:val="99"/>
    <w:semiHidden/>
    <w:unhideWhenUsed/>
    <w:rsid w:val="003D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5500">
      <w:bodyDiv w:val="1"/>
      <w:marLeft w:val="0"/>
      <w:marRight w:val="0"/>
      <w:marTop w:val="0"/>
      <w:marBottom w:val="0"/>
      <w:divBdr>
        <w:top w:val="none" w:sz="0" w:space="0" w:color="auto"/>
        <w:left w:val="none" w:sz="0" w:space="0" w:color="auto"/>
        <w:bottom w:val="none" w:sz="0" w:space="0" w:color="auto"/>
        <w:right w:val="none" w:sz="0" w:space="0" w:color="auto"/>
      </w:divBdr>
    </w:div>
    <w:div w:id="17214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Bellm</dc:creator>
  <cp:keywords/>
  <dc:description/>
  <cp:lastModifiedBy>Bob Bellm</cp:lastModifiedBy>
  <cp:revision>47</cp:revision>
  <dcterms:created xsi:type="dcterms:W3CDTF">2025-04-21T11:55:00Z</dcterms:created>
  <dcterms:modified xsi:type="dcterms:W3CDTF">2025-04-21T16:40:00Z</dcterms:modified>
</cp:coreProperties>
</file>